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785BD" w14:textId="77777777" w:rsidR="000353B1" w:rsidRDefault="00B84A77">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bookmarkStart w:id="0" w:name="_heading=h.3o7alnk" w:colFirst="0" w:colLast="0"/>
      <w:bookmarkEnd w:id="0"/>
      <w:r>
        <w:rPr>
          <w:rFonts w:ascii="Arial" w:eastAsia="Arial" w:hAnsi="Arial"/>
          <w:b/>
          <w:color w:val="000000"/>
          <w:sz w:val="36"/>
          <w:szCs w:val="36"/>
        </w:rPr>
        <w:t>Joint Schedule 7 (Financial Difficulties)</w:t>
      </w:r>
    </w:p>
    <w:p w14:paraId="3EE279AE" w14:textId="77777777" w:rsidR="000353B1" w:rsidRDefault="000353B1">
      <w:pPr>
        <w:keepNext/>
        <w:pBdr>
          <w:top w:val="nil"/>
          <w:left w:val="nil"/>
          <w:bottom w:val="nil"/>
          <w:right w:val="nil"/>
          <w:between w:val="nil"/>
        </w:pBdr>
        <w:jc w:val="left"/>
        <w:rPr>
          <w:rFonts w:ascii="Arial" w:eastAsia="Arial" w:hAnsi="Arial"/>
          <w:b/>
          <w:smallCaps/>
          <w:color w:val="000000"/>
          <w:sz w:val="36"/>
          <w:szCs w:val="36"/>
        </w:rPr>
      </w:pPr>
    </w:p>
    <w:p w14:paraId="1162CFC5" w14:textId="77777777" w:rsidR="000353B1" w:rsidRDefault="00B84A77" w:rsidP="002F37AB">
      <w:pPr>
        <w:keepNext/>
        <w:numPr>
          <w:ilvl w:val="0"/>
          <w:numId w:val="2"/>
        </w:numPr>
        <w:pBdr>
          <w:top w:val="nil"/>
          <w:left w:val="nil"/>
          <w:bottom w:val="nil"/>
          <w:right w:val="nil"/>
          <w:between w:val="nil"/>
        </w:pBdr>
        <w:tabs>
          <w:tab w:val="left" w:pos="0"/>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Definitions</w:t>
      </w:r>
    </w:p>
    <w:p w14:paraId="16C97DF4" w14:textId="77777777" w:rsidR="000353B1" w:rsidRDefault="00B84A77" w:rsidP="002F37AB">
      <w:pPr>
        <w:numPr>
          <w:ilvl w:val="1"/>
          <w:numId w:val="2"/>
        </w:numPr>
        <w:pBdr>
          <w:top w:val="nil"/>
          <w:left w:val="nil"/>
          <w:bottom w:val="nil"/>
          <w:right w:val="nil"/>
          <w:between w:val="nil"/>
        </w:pBdr>
        <w:tabs>
          <w:tab w:val="left" w:pos="567"/>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14:paraId="4AF1B4C2" w14:textId="77777777" w:rsidR="000353B1" w:rsidRDefault="000353B1">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ff2"/>
        <w:tblW w:w="865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910"/>
        <w:gridCol w:w="5745"/>
      </w:tblGrid>
      <w:tr w:rsidR="000353B1" w14:paraId="044701DF" w14:textId="77777777">
        <w:trPr>
          <w:trHeight w:val="1740"/>
        </w:trPr>
        <w:tc>
          <w:tcPr>
            <w:tcW w:w="2910" w:type="dxa"/>
            <w:tcBorders>
              <w:top w:val="single" w:sz="4" w:space="0" w:color="000000"/>
              <w:left w:val="single" w:sz="4" w:space="0" w:color="000000"/>
              <w:bottom w:val="single" w:sz="4" w:space="0" w:color="000000"/>
              <w:right w:val="single" w:sz="4" w:space="0" w:color="000000"/>
            </w:tcBorders>
          </w:tcPr>
          <w:p w14:paraId="35B05C61"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“Applicable Financial Indicators”</w:t>
            </w:r>
          </w:p>
        </w:tc>
        <w:tc>
          <w:tcPr>
            <w:tcW w:w="5745" w:type="dxa"/>
            <w:tcBorders>
              <w:top w:val="single" w:sz="4" w:space="0" w:color="000000"/>
              <w:left w:val="single" w:sz="4" w:space="0" w:color="000000"/>
              <w:bottom w:val="single" w:sz="4" w:space="0" w:color="000000"/>
              <w:right w:val="single" w:sz="4" w:space="0" w:color="000000"/>
            </w:tcBorders>
          </w:tcPr>
          <w:p w14:paraId="49D4D047" w14:textId="77777777" w:rsidR="000353B1" w:rsidRDefault="00B84A77">
            <w:pPr>
              <w:keepNext/>
              <w:pBdr>
                <w:top w:val="nil"/>
                <w:left w:val="nil"/>
                <w:bottom w:val="nil"/>
                <w:right w:val="nil"/>
                <w:between w:val="nil"/>
              </w:pBdr>
              <w:ind w:right="-22"/>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0353B1" w14:paraId="3CEFDFEE" w14:textId="77777777">
        <w:tc>
          <w:tcPr>
            <w:tcW w:w="2910" w:type="dxa"/>
            <w:tcBorders>
              <w:top w:val="single" w:sz="4" w:space="0" w:color="000000"/>
              <w:left w:val="single" w:sz="4" w:space="0" w:color="000000"/>
              <w:bottom w:val="single" w:sz="4" w:space="0" w:color="000000"/>
              <w:right w:val="single" w:sz="4" w:space="0" w:color="000000"/>
            </w:tcBorders>
          </w:tcPr>
          <w:p w14:paraId="331F85D4"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“Board”</w:t>
            </w:r>
          </w:p>
        </w:tc>
        <w:tc>
          <w:tcPr>
            <w:tcW w:w="5745" w:type="dxa"/>
            <w:tcBorders>
              <w:top w:val="single" w:sz="4" w:space="0" w:color="000000"/>
              <w:left w:val="single" w:sz="4" w:space="0" w:color="000000"/>
              <w:bottom w:val="single" w:sz="4" w:space="0" w:color="000000"/>
              <w:right w:val="single" w:sz="4" w:space="0" w:color="000000"/>
            </w:tcBorders>
          </w:tcPr>
          <w:p w14:paraId="5B5DEA3C"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0353B1" w14:paraId="034724D2" w14:textId="77777777">
        <w:tc>
          <w:tcPr>
            <w:tcW w:w="2910" w:type="dxa"/>
            <w:tcBorders>
              <w:top w:val="single" w:sz="4" w:space="0" w:color="000000"/>
              <w:left w:val="single" w:sz="4" w:space="0" w:color="000000"/>
              <w:bottom w:val="single" w:sz="4" w:space="0" w:color="000000"/>
              <w:right w:val="single" w:sz="4" w:space="0" w:color="000000"/>
            </w:tcBorders>
          </w:tcPr>
          <w:p w14:paraId="596E8906"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“Board Confirmation”</w:t>
            </w:r>
          </w:p>
        </w:tc>
        <w:tc>
          <w:tcPr>
            <w:tcW w:w="5745" w:type="dxa"/>
            <w:tcBorders>
              <w:top w:val="single" w:sz="4" w:space="0" w:color="000000"/>
              <w:left w:val="single" w:sz="4" w:space="0" w:color="000000"/>
              <w:bottom w:val="single" w:sz="4" w:space="0" w:color="000000"/>
              <w:right w:val="single" w:sz="4" w:space="0" w:color="000000"/>
            </w:tcBorders>
          </w:tcPr>
          <w:p w14:paraId="008B83AD"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0353B1" w14:paraId="5A4AEB52" w14:textId="77777777">
        <w:tc>
          <w:tcPr>
            <w:tcW w:w="2910" w:type="dxa"/>
            <w:tcBorders>
              <w:top w:val="single" w:sz="4" w:space="0" w:color="000000"/>
              <w:left w:val="single" w:sz="4" w:space="0" w:color="000000"/>
              <w:bottom w:val="single" w:sz="4" w:space="0" w:color="000000"/>
              <w:right w:val="single" w:sz="4" w:space="0" w:color="000000"/>
            </w:tcBorders>
          </w:tcPr>
          <w:p w14:paraId="5B5C3CC4"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“Bronze Contract”</w:t>
            </w:r>
          </w:p>
        </w:tc>
        <w:tc>
          <w:tcPr>
            <w:tcW w:w="5745" w:type="dxa"/>
            <w:tcBorders>
              <w:top w:val="single" w:sz="4" w:space="0" w:color="000000"/>
              <w:left w:val="single" w:sz="4" w:space="0" w:color="000000"/>
              <w:bottom w:val="single" w:sz="4" w:space="0" w:color="000000"/>
              <w:right w:val="single" w:sz="4" w:space="0" w:color="000000"/>
            </w:tcBorders>
          </w:tcPr>
          <w:p w14:paraId="7C94248B"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A Call-Off Contract categorised as a </w:t>
            </w:r>
            <w:proofErr w:type="gramStart"/>
            <w:r>
              <w:rPr>
                <w:rFonts w:ascii="Arial" w:eastAsia="Arial" w:hAnsi="Arial"/>
                <w:color w:val="000000"/>
                <w:sz w:val="24"/>
                <w:szCs w:val="24"/>
              </w:rPr>
              <w:t>Bronze</w:t>
            </w:r>
            <w:proofErr w:type="gramEnd"/>
            <w:r>
              <w:rPr>
                <w:rFonts w:ascii="Arial" w:eastAsia="Arial" w:hAnsi="Arial"/>
                <w:color w:val="000000"/>
                <w:sz w:val="24"/>
                <w:szCs w:val="24"/>
              </w:rPr>
              <w:t xml:space="preserve"> contract using the Cabinet Office Contract Tiering Tool;</w:t>
            </w:r>
          </w:p>
        </w:tc>
      </w:tr>
      <w:tr w:rsidR="000353B1" w14:paraId="1EF469FA" w14:textId="77777777">
        <w:tc>
          <w:tcPr>
            <w:tcW w:w="2910" w:type="dxa"/>
            <w:tcBorders>
              <w:top w:val="single" w:sz="4" w:space="0" w:color="000000"/>
              <w:left w:val="single" w:sz="4" w:space="0" w:color="000000"/>
              <w:bottom w:val="single" w:sz="4" w:space="0" w:color="000000"/>
              <w:right w:val="single" w:sz="4" w:space="0" w:color="000000"/>
            </w:tcBorders>
          </w:tcPr>
          <w:p w14:paraId="07328854"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745" w:type="dxa"/>
            <w:tcBorders>
              <w:top w:val="single" w:sz="4" w:space="0" w:color="000000"/>
              <w:left w:val="single" w:sz="4" w:space="0" w:color="000000"/>
              <w:bottom w:val="single" w:sz="4" w:space="0" w:color="000000"/>
              <w:right w:val="single" w:sz="4" w:space="0" w:color="000000"/>
            </w:tcBorders>
          </w:tcPr>
          <w:p w14:paraId="38A4A255"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0353B1" w14:paraId="47D6FCF2" w14:textId="77777777">
        <w:tc>
          <w:tcPr>
            <w:tcW w:w="2910" w:type="dxa"/>
            <w:tcBorders>
              <w:top w:val="single" w:sz="4" w:space="0" w:color="000000"/>
              <w:left w:val="single" w:sz="4" w:space="0" w:color="000000"/>
              <w:bottom w:val="single" w:sz="4" w:space="0" w:color="000000"/>
              <w:right w:val="single" w:sz="4" w:space="0" w:color="000000"/>
            </w:tcBorders>
          </w:tcPr>
          <w:p w14:paraId="21926028"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“Credit Rating Threshold”</w:t>
            </w:r>
          </w:p>
        </w:tc>
        <w:tc>
          <w:tcPr>
            <w:tcW w:w="5745" w:type="dxa"/>
            <w:tcBorders>
              <w:top w:val="single" w:sz="4" w:space="0" w:color="000000"/>
              <w:left w:val="single" w:sz="4" w:space="0" w:color="000000"/>
              <w:bottom w:val="single" w:sz="4" w:space="0" w:color="000000"/>
              <w:right w:val="single" w:sz="4" w:space="0" w:color="000000"/>
            </w:tcBorders>
          </w:tcPr>
          <w:p w14:paraId="077FAB30"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the minimum credit rating level for each entity in the FDE Group as set out in Annex </w:t>
            </w:r>
            <w:r>
              <w:rPr>
                <w:rFonts w:ascii="Arial" w:eastAsia="Arial" w:hAnsi="Arial"/>
                <w:sz w:val="24"/>
                <w:szCs w:val="24"/>
              </w:rPr>
              <w:t>2</w:t>
            </w:r>
            <w:r>
              <w:rPr>
                <w:rFonts w:ascii="Arial" w:eastAsia="Arial" w:hAnsi="Arial"/>
                <w:color w:val="000000"/>
                <w:sz w:val="24"/>
                <w:szCs w:val="24"/>
              </w:rPr>
              <w:t xml:space="preserve"> to this Schedule;</w:t>
            </w:r>
          </w:p>
        </w:tc>
      </w:tr>
      <w:tr w:rsidR="000353B1" w14:paraId="3793FC50" w14:textId="77777777">
        <w:tc>
          <w:tcPr>
            <w:tcW w:w="2910" w:type="dxa"/>
            <w:tcBorders>
              <w:top w:val="single" w:sz="4" w:space="0" w:color="000000"/>
              <w:left w:val="single" w:sz="4" w:space="0" w:color="000000"/>
              <w:bottom w:val="single" w:sz="4" w:space="0" w:color="000000"/>
              <w:right w:val="single" w:sz="4" w:space="0" w:color="000000"/>
            </w:tcBorders>
          </w:tcPr>
          <w:p w14:paraId="1DB2A5B6"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“FDE Group”</w:t>
            </w:r>
          </w:p>
        </w:tc>
        <w:tc>
          <w:tcPr>
            <w:tcW w:w="5745" w:type="dxa"/>
            <w:tcBorders>
              <w:top w:val="single" w:sz="4" w:space="0" w:color="000000"/>
              <w:left w:val="single" w:sz="4" w:space="0" w:color="000000"/>
              <w:bottom w:val="single" w:sz="4" w:space="0" w:color="000000"/>
              <w:right w:val="single" w:sz="4" w:space="0" w:color="000000"/>
            </w:tcBorders>
          </w:tcPr>
          <w:p w14:paraId="698BE9C4"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Supplier, Key Sub-contractors, the Guarantor and the Monitored Suppliers;</w:t>
            </w:r>
          </w:p>
        </w:tc>
      </w:tr>
      <w:tr w:rsidR="000353B1" w14:paraId="2D08BBBC" w14:textId="77777777">
        <w:tc>
          <w:tcPr>
            <w:tcW w:w="2910" w:type="dxa"/>
            <w:tcBorders>
              <w:top w:val="single" w:sz="4" w:space="0" w:color="000000"/>
              <w:left w:val="single" w:sz="4" w:space="0" w:color="000000"/>
              <w:bottom w:val="single" w:sz="4" w:space="0" w:color="000000"/>
              <w:right w:val="single" w:sz="4" w:space="0" w:color="000000"/>
            </w:tcBorders>
          </w:tcPr>
          <w:p w14:paraId="4343696C"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Distress Event”</w:t>
            </w:r>
          </w:p>
        </w:tc>
        <w:tc>
          <w:tcPr>
            <w:tcW w:w="5745" w:type="dxa"/>
            <w:tcBorders>
              <w:top w:val="single" w:sz="4" w:space="0" w:color="000000"/>
              <w:left w:val="single" w:sz="4" w:space="0" w:color="000000"/>
              <w:bottom w:val="single" w:sz="4" w:space="0" w:color="000000"/>
              <w:right w:val="single" w:sz="4" w:space="0" w:color="000000"/>
            </w:tcBorders>
          </w:tcPr>
          <w:p w14:paraId="0C301E58"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0353B1" w14:paraId="47D3AE3E" w14:textId="77777777">
        <w:tc>
          <w:tcPr>
            <w:tcW w:w="2910" w:type="dxa"/>
            <w:tcBorders>
              <w:top w:val="single" w:sz="4" w:space="0" w:color="000000"/>
              <w:left w:val="single" w:sz="4" w:space="0" w:color="000000"/>
              <w:bottom w:val="single" w:sz="4" w:space="0" w:color="000000"/>
              <w:right w:val="single" w:sz="4" w:space="0" w:color="000000"/>
            </w:tcBorders>
          </w:tcPr>
          <w:p w14:paraId="4316E3C1"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Distress Remediation Plan”</w:t>
            </w:r>
          </w:p>
          <w:p w14:paraId="602C2F63" w14:textId="77777777" w:rsidR="000353B1" w:rsidRDefault="00B84A77">
            <w:pPr>
              <w:tabs>
                <w:tab w:val="left" w:pos="1908"/>
              </w:tabs>
              <w:rPr>
                <w:rFonts w:ascii="Arial" w:eastAsia="Arial" w:hAnsi="Arial"/>
                <w:sz w:val="24"/>
                <w:szCs w:val="24"/>
              </w:rPr>
            </w:pPr>
            <w:r>
              <w:rPr>
                <w:rFonts w:ascii="Arial" w:eastAsia="Arial" w:hAnsi="Arial"/>
                <w:sz w:val="24"/>
                <w:szCs w:val="24"/>
              </w:rPr>
              <w:tab/>
            </w:r>
          </w:p>
        </w:tc>
        <w:tc>
          <w:tcPr>
            <w:tcW w:w="5745" w:type="dxa"/>
            <w:tcBorders>
              <w:top w:val="single" w:sz="4" w:space="0" w:color="000000"/>
              <w:left w:val="single" w:sz="4" w:space="0" w:color="000000"/>
              <w:bottom w:val="single" w:sz="4" w:space="0" w:color="000000"/>
              <w:right w:val="single" w:sz="4" w:space="0" w:color="000000"/>
            </w:tcBorders>
          </w:tcPr>
          <w:p w14:paraId="1A22E5B9"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the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0353B1" w14:paraId="149E44D5" w14:textId="77777777">
        <w:tc>
          <w:tcPr>
            <w:tcW w:w="2910" w:type="dxa"/>
            <w:tcBorders>
              <w:top w:val="single" w:sz="4" w:space="0" w:color="000000"/>
              <w:left w:val="single" w:sz="4" w:space="0" w:color="000000"/>
              <w:bottom w:val="single" w:sz="4" w:space="0" w:color="000000"/>
              <w:right w:val="single" w:sz="4" w:space="0" w:color="000000"/>
            </w:tcBorders>
          </w:tcPr>
          <w:p w14:paraId="1ED057AB"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Indicators”</w:t>
            </w:r>
          </w:p>
        </w:tc>
        <w:tc>
          <w:tcPr>
            <w:tcW w:w="5745" w:type="dxa"/>
            <w:tcBorders>
              <w:top w:val="single" w:sz="4" w:space="0" w:color="000000"/>
              <w:left w:val="single" w:sz="4" w:space="0" w:color="000000"/>
              <w:bottom w:val="single" w:sz="4" w:space="0" w:color="000000"/>
              <w:right w:val="single" w:sz="4" w:space="0" w:color="000000"/>
            </w:tcBorders>
          </w:tcPr>
          <w:p w14:paraId="39BFF81D"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in respect of the Supplier, Key Sub-contractors and the Guarantor, means each of the financial indicators set out at paragraph 5.1 of this Schedule and in respect of each Monitored Supplier, means those Applicable Financial</w:t>
            </w:r>
            <w:r>
              <w:rPr>
                <w:rFonts w:ascii="Arial" w:eastAsia="Arial" w:hAnsi="Arial"/>
                <w:sz w:val="24"/>
                <w:szCs w:val="24"/>
              </w:rPr>
              <w:t xml:space="preserve"> </w:t>
            </w:r>
            <w:r>
              <w:rPr>
                <w:rFonts w:ascii="Arial" w:eastAsia="Arial" w:hAnsi="Arial"/>
                <w:color w:val="000000"/>
                <w:sz w:val="24"/>
                <w:szCs w:val="24"/>
              </w:rPr>
              <w:t>Indicators;</w:t>
            </w:r>
          </w:p>
        </w:tc>
      </w:tr>
      <w:tr w:rsidR="000353B1" w14:paraId="40708079" w14:textId="77777777">
        <w:tc>
          <w:tcPr>
            <w:tcW w:w="2910" w:type="dxa"/>
            <w:tcBorders>
              <w:top w:val="single" w:sz="4" w:space="0" w:color="000000"/>
              <w:left w:val="single" w:sz="4" w:space="0" w:color="000000"/>
              <w:bottom w:val="single" w:sz="4" w:space="0" w:color="000000"/>
              <w:right w:val="single" w:sz="4" w:space="0" w:color="000000"/>
            </w:tcBorders>
          </w:tcPr>
          <w:p w14:paraId="16C3601F"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745" w:type="dxa"/>
            <w:tcBorders>
              <w:top w:val="single" w:sz="4" w:space="0" w:color="000000"/>
              <w:left w:val="single" w:sz="4" w:space="0" w:color="000000"/>
              <w:bottom w:val="single" w:sz="4" w:space="0" w:color="000000"/>
              <w:right w:val="single" w:sz="4" w:space="0" w:color="000000"/>
            </w:tcBorders>
          </w:tcPr>
          <w:p w14:paraId="604B3657"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0353B1" w14:paraId="5B96C030" w14:textId="77777777">
        <w:tc>
          <w:tcPr>
            <w:tcW w:w="2910" w:type="dxa"/>
            <w:tcBorders>
              <w:top w:val="single" w:sz="4" w:space="0" w:color="000000"/>
              <w:left w:val="single" w:sz="4" w:space="0" w:color="000000"/>
              <w:bottom w:val="single" w:sz="4" w:space="0" w:color="000000"/>
              <w:right w:val="single" w:sz="4" w:space="0" w:color="000000"/>
            </w:tcBorders>
          </w:tcPr>
          <w:p w14:paraId="36FD65C5"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“Monitored Suppliers”</w:t>
            </w:r>
          </w:p>
        </w:tc>
        <w:tc>
          <w:tcPr>
            <w:tcW w:w="5745" w:type="dxa"/>
            <w:tcBorders>
              <w:top w:val="single" w:sz="4" w:space="0" w:color="000000"/>
              <w:left w:val="single" w:sz="4" w:space="0" w:color="000000"/>
              <w:bottom w:val="single" w:sz="4" w:space="0" w:color="000000"/>
              <w:right w:val="single" w:sz="4" w:space="0" w:color="000000"/>
            </w:tcBorders>
          </w:tcPr>
          <w:p w14:paraId="3235F8CE"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0353B1" w14:paraId="38288A5F" w14:textId="77777777">
        <w:tc>
          <w:tcPr>
            <w:tcW w:w="2910" w:type="dxa"/>
            <w:tcBorders>
              <w:top w:val="single" w:sz="4" w:space="0" w:color="000000"/>
              <w:left w:val="single" w:sz="4" w:space="0" w:color="000000"/>
              <w:bottom w:val="single" w:sz="4" w:space="0" w:color="000000"/>
              <w:right w:val="single" w:sz="4" w:space="0" w:color="000000"/>
            </w:tcBorders>
          </w:tcPr>
          <w:p w14:paraId="4157EAF9"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“Rating Agencies”</w:t>
            </w:r>
          </w:p>
        </w:tc>
        <w:tc>
          <w:tcPr>
            <w:tcW w:w="5745" w:type="dxa"/>
            <w:tcBorders>
              <w:top w:val="single" w:sz="4" w:space="0" w:color="000000"/>
              <w:left w:val="single" w:sz="4" w:space="0" w:color="000000"/>
              <w:bottom w:val="single" w:sz="4" w:space="0" w:color="000000"/>
              <w:right w:val="single" w:sz="4" w:space="0" w:color="000000"/>
            </w:tcBorders>
          </w:tcPr>
          <w:p w14:paraId="64DE1DC2"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0353B1" w14:paraId="2725D729" w14:textId="77777777">
        <w:tc>
          <w:tcPr>
            <w:tcW w:w="2910" w:type="dxa"/>
            <w:tcBorders>
              <w:top w:val="single" w:sz="4" w:space="0" w:color="000000"/>
              <w:left w:val="single" w:sz="4" w:space="0" w:color="000000"/>
              <w:bottom w:val="single" w:sz="4" w:space="0" w:color="000000"/>
              <w:right w:val="single" w:sz="4" w:space="0" w:color="000000"/>
            </w:tcBorders>
          </w:tcPr>
          <w:p w14:paraId="065131C3"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“Strategic Supplier”</w:t>
            </w:r>
          </w:p>
        </w:tc>
        <w:tc>
          <w:tcPr>
            <w:tcW w:w="5745" w:type="dxa"/>
            <w:tcBorders>
              <w:top w:val="single" w:sz="4" w:space="0" w:color="000000"/>
              <w:left w:val="single" w:sz="4" w:space="0" w:color="000000"/>
              <w:bottom w:val="single" w:sz="4" w:space="0" w:color="000000"/>
              <w:right w:val="single" w:sz="4" w:space="0" w:color="000000"/>
            </w:tcBorders>
          </w:tcPr>
          <w:p w14:paraId="73EEB1BF"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14:paraId="71BC1396" w14:textId="77777777" w:rsidR="000353B1" w:rsidRDefault="000353B1">
      <w:pPr>
        <w:keepNext/>
        <w:pBdr>
          <w:top w:val="nil"/>
          <w:left w:val="nil"/>
          <w:bottom w:val="nil"/>
          <w:right w:val="nil"/>
          <w:between w:val="nil"/>
        </w:pBdr>
        <w:tabs>
          <w:tab w:val="left" w:pos="142"/>
        </w:tabs>
        <w:spacing w:before="120"/>
        <w:ind w:left="360"/>
        <w:jc w:val="left"/>
        <w:rPr>
          <w:rFonts w:ascii="Arial" w:eastAsia="Arial" w:hAnsi="Arial"/>
          <w:b/>
          <w:sz w:val="24"/>
          <w:szCs w:val="24"/>
        </w:rPr>
      </w:pPr>
    </w:p>
    <w:p w14:paraId="57485D93" w14:textId="77777777" w:rsidR="000353B1" w:rsidRDefault="00B84A77" w:rsidP="002F37AB">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Warranties and duty to notify</w:t>
      </w:r>
    </w:p>
    <w:p w14:paraId="0E3AA274" w14:textId="77777777" w:rsidR="000353B1" w:rsidRDefault="00B84A77" w:rsidP="002F37AB">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14:paraId="7A76EBA4"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each entity in the FDE Group by each of the Rating Agencies are as set out in Annex 2 to this Schedule; and</w:t>
      </w:r>
    </w:p>
    <w:p w14:paraId="3F3AF8ED"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14:paraId="546C69CC" w14:textId="77777777" w:rsidR="000353B1" w:rsidRDefault="00B84A77" w:rsidP="002F37AB">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5E239ECF" w14:textId="77777777" w:rsidR="000353B1" w:rsidRDefault="00B84A77" w:rsidP="002F37AB">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w:t>
      </w:r>
    </w:p>
    <w:p w14:paraId="17905407"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regularly monitor the credit ratings of each entity in the FDE Group with the Rating </w:t>
      </w:r>
      <w:proofErr w:type="gramStart"/>
      <w:r>
        <w:rPr>
          <w:rFonts w:ascii="Arial" w:eastAsia="Arial" w:hAnsi="Arial"/>
          <w:color w:val="000000"/>
          <w:sz w:val="24"/>
          <w:szCs w:val="24"/>
        </w:rPr>
        <w:t>Agencies;</w:t>
      </w:r>
      <w:proofErr w:type="gramEnd"/>
    </w:p>
    <w:p w14:paraId="16F44871"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348BDDDC"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74CB0D59" w14:textId="77777777" w:rsidR="000353B1" w:rsidRDefault="00B84A77" w:rsidP="00936212">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pursuant to the provisions of Paragraphs 3.1(a), and for the purposes </w:t>
      </w:r>
      <w:r>
        <w:rPr>
          <w:rFonts w:ascii="Arial" w:eastAsia="Arial" w:hAnsi="Arial"/>
          <w:color w:val="000000"/>
          <w:sz w:val="24"/>
          <w:szCs w:val="24"/>
        </w:rPr>
        <w:lastRenderedPageBreak/>
        <w:t>of determining relief under Paragraph 7.1, the credit rating of an FDE Group entity shall be deemed to have dropped below the applicable Credit Rating Threshold if any of the Rating Agencies have rated that entity at or below the applicable Credit Rating Threshold; or</w:t>
      </w:r>
    </w:p>
    <w:p w14:paraId="2CCBF3AA" w14:textId="77777777" w:rsidR="000353B1" w:rsidRDefault="00B84A77" w:rsidP="0032625F">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2.3(b) shall:</w:t>
      </w:r>
    </w:p>
    <w:p w14:paraId="274F7CA1"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be a single report with separate sections for each of the FDE Group </w:t>
      </w:r>
      <w:proofErr w:type="gramStart"/>
      <w:r>
        <w:rPr>
          <w:rFonts w:ascii="Arial" w:eastAsia="Arial" w:hAnsi="Arial"/>
          <w:color w:val="000000"/>
          <w:sz w:val="24"/>
          <w:szCs w:val="24"/>
        </w:rPr>
        <w:t>entities;</w:t>
      </w:r>
      <w:proofErr w:type="gramEnd"/>
    </w:p>
    <w:p w14:paraId="2F6CE4FC"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contain a sufficient level of information to enable the Relevant Authority to verify the calculations that have been made in respect of the Financial </w:t>
      </w:r>
      <w:proofErr w:type="gramStart"/>
      <w:r>
        <w:rPr>
          <w:rFonts w:ascii="Arial" w:eastAsia="Arial" w:hAnsi="Arial"/>
          <w:color w:val="000000"/>
          <w:sz w:val="24"/>
          <w:szCs w:val="24"/>
        </w:rPr>
        <w:t>Indicators;</w:t>
      </w:r>
      <w:proofErr w:type="gramEnd"/>
    </w:p>
    <w:p w14:paraId="7F996FBC"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include key financial and other supporting information (including any accounts data that has been relied on) as separate </w:t>
      </w:r>
      <w:proofErr w:type="gramStart"/>
      <w:r>
        <w:rPr>
          <w:rFonts w:ascii="Arial" w:eastAsia="Arial" w:hAnsi="Arial"/>
          <w:color w:val="000000"/>
          <w:sz w:val="24"/>
          <w:szCs w:val="24"/>
        </w:rPr>
        <w:t>annexes;</w:t>
      </w:r>
      <w:proofErr w:type="gramEnd"/>
    </w:p>
    <w:p w14:paraId="3C60777B"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5BD49102"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14:paraId="04CBE614" w14:textId="77777777" w:rsidR="000353B1" w:rsidRDefault="00B84A77" w:rsidP="0032625F">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Financial Distress events</w:t>
      </w:r>
    </w:p>
    <w:p w14:paraId="1D463368" w14:textId="77777777" w:rsidR="000353B1" w:rsidRDefault="00B84A77" w:rsidP="0032625F">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14:paraId="292EE1B8"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the credit rating of an FDE Group entity dropping below the applicable Credit Rating </w:t>
      </w:r>
      <w:proofErr w:type="gramStart"/>
      <w:r>
        <w:rPr>
          <w:rFonts w:ascii="Arial" w:eastAsia="Arial" w:hAnsi="Arial"/>
          <w:color w:val="000000"/>
          <w:sz w:val="24"/>
          <w:szCs w:val="24"/>
        </w:rPr>
        <w:t>Threshold;</w:t>
      </w:r>
      <w:proofErr w:type="gramEnd"/>
    </w:p>
    <w:p w14:paraId="06960785"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an FDE Group entity issuing a profits warning to a stock exchange or making any other public announcement, in each case about a material deterioration in its financial position or </w:t>
      </w:r>
      <w:proofErr w:type="gramStart"/>
      <w:r>
        <w:rPr>
          <w:rFonts w:ascii="Arial" w:eastAsia="Arial" w:hAnsi="Arial"/>
          <w:color w:val="000000"/>
          <w:sz w:val="24"/>
          <w:szCs w:val="24"/>
        </w:rPr>
        <w:t>prospects;</w:t>
      </w:r>
      <w:proofErr w:type="gramEnd"/>
    </w:p>
    <w:p w14:paraId="44AB2B38"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an FDE Group </w:t>
      </w:r>
      <w:proofErr w:type="gramStart"/>
      <w:r>
        <w:rPr>
          <w:rFonts w:ascii="Arial" w:eastAsia="Arial" w:hAnsi="Arial"/>
          <w:color w:val="000000"/>
          <w:sz w:val="24"/>
          <w:szCs w:val="24"/>
        </w:rPr>
        <w:t>entity;</w:t>
      </w:r>
      <w:proofErr w:type="gramEnd"/>
    </w:p>
    <w:p w14:paraId="75A5DC21"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an FDE Group entity committing a material breach of covenant to its </w:t>
      </w:r>
      <w:proofErr w:type="gramStart"/>
      <w:r>
        <w:rPr>
          <w:rFonts w:ascii="Arial" w:eastAsia="Arial" w:hAnsi="Arial"/>
          <w:color w:val="000000"/>
          <w:sz w:val="24"/>
          <w:szCs w:val="24"/>
        </w:rPr>
        <w:t>lenders;</w:t>
      </w:r>
      <w:proofErr w:type="gramEnd"/>
    </w:p>
    <w:p w14:paraId="76FAE78E"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bookmarkStart w:id="1" w:name="_heading=h.1ksv4uv" w:colFirst="0" w:colLast="0"/>
      <w:bookmarkEnd w:id="1"/>
      <w:r>
        <w:rPr>
          <w:rFonts w:ascii="Arial" w:eastAsia="Arial" w:hAnsi="Arial"/>
          <w:color w:val="000000"/>
          <w:sz w:val="24"/>
          <w:szCs w:val="24"/>
        </w:rPr>
        <w:t xml:space="preserve">a Key Sub-contractor notifying CCS or the Buyer that the Supplier has not satisfied any material sums properly due under a specified invoice and not subject to a genuine </w:t>
      </w:r>
      <w:proofErr w:type="gramStart"/>
      <w:r>
        <w:rPr>
          <w:rFonts w:ascii="Arial" w:eastAsia="Arial" w:hAnsi="Arial"/>
          <w:color w:val="000000"/>
          <w:sz w:val="24"/>
          <w:szCs w:val="24"/>
        </w:rPr>
        <w:t>dispute;</w:t>
      </w:r>
      <w:proofErr w:type="gramEnd"/>
    </w:p>
    <w:p w14:paraId="12921F4F"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any of the following:</w:t>
      </w:r>
    </w:p>
    <w:p w14:paraId="0AC7E2C2" w14:textId="77777777" w:rsidR="000353B1" w:rsidRDefault="00B84A77" w:rsidP="000D17B8">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commencement of any litigation against an FDE Group entity with respect to financial indebtedness greater than £5m or obligations under a service contract with a total contract value greater than £</w:t>
      </w:r>
      <w:proofErr w:type="gramStart"/>
      <w:r>
        <w:rPr>
          <w:rFonts w:ascii="Arial" w:eastAsia="Arial" w:hAnsi="Arial"/>
          <w:color w:val="000000"/>
          <w:sz w:val="24"/>
          <w:szCs w:val="24"/>
        </w:rPr>
        <w:t>5m;</w:t>
      </w:r>
      <w:proofErr w:type="gramEnd"/>
      <w:r>
        <w:rPr>
          <w:rFonts w:ascii="Arial" w:eastAsia="Arial" w:hAnsi="Arial"/>
          <w:color w:val="000000"/>
          <w:sz w:val="24"/>
          <w:szCs w:val="24"/>
        </w:rPr>
        <w:t xml:space="preserve"> </w:t>
      </w:r>
    </w:p>
    <w:p w14:paraId="3152E3C6" w14:textId="77777777" w:rsidR="000353B1" w:rsidRDefault="00B84A77" w:rsidP="000D17B8">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 xml:space="preserve">non-payment by an FDE Group entity of any financial </w:t>
      </w:r>
      <w:proofErr w:type="gramStart"/>
      <w:r>
        <w:rPr>
          <w:rFonts w:ascii="Arial" w:eastAsia="Arial" w:hAnsi="Arial"/>
          <w:color w:val="000000"/>
          <w:sz w:val="24"/>
          <w:szCs w:val="24"/>
        </w:rPr>
        <w:t>indebtedness;</w:t>
      </w:r>
      <w:proofErr w:type="gramEnd"/>
    </w:p>
    <w:p w14:paraId="53F8FEB7" w14:textId="77777777" w:rsidR="000353B1" w:rsidRDefault="00B84A77" w:rsidP="007415C7">
      <w:pPr>
        <w:numPr>
          <w:ilvl w:val="3"/>
          <w:numId w:val="2"/>
        </w:numPr>
        <w:pBdr>
          <w:top w:val="nil"/>
          <w:left w:val="nil"/>
          <w:bottom w:val="nil"/>
          <w:right w:val="nil"/>
          <w:between w:val="nil"/>
        </w:pBdr>
        <w:tabs>
          <w:tab w:val="left" w:pos="1985"/>
        </w:tabs>
        <w:spacing w:before="120" w:after="120"/>
        <w:ind w:left="1985" w:hanging="851"/>
        <w:rPr>
          <w:rFonts w:ascii="Arial" w:eastAsia="Arial" w:hAnsi="Arial"/>
          <w:color w:val="000000"/>
          <w:sz w:val="24"/>
          <w:szCs w:val="24"/>
        </w:rPr>
      </w:pPr>
      <w:r>
        <w:rPr>
          <w:rFonts w:ascii="Arial" w:eastAsia="Arial" w:hAnsi="Arial"/>
          <w:color w:val="000000"/>
          <w:sz w:val="24"/>
          <w:szCs w:val="24"/>
        </w:rPr>
        <w:lastRenderedPageBreak/>
        <w:t xml:space="preserve">any financial indebtedness of an FDE Group entity becoming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w:t>
      </w:r>
      <w:proofErr w:type="gramStart"/>
      <w:r>
        <w:rPr>
          <w:rFonts w:ascii="Arial" w:eastAsia="Arial" w:hAnsi="Arial"/>
          <w:color w:val="000000"/>
          <w:sz w:val="24"/>
          <w:szCs w:val="24"/>
        </w:rPr>
        <w:t>default;</w:t>
      </w:r>
      <w:proofErr w:type="gramEnd"/>
    </w:p>
    <w:p w14:paraId="12509FE1" w14:textId="77777777" w:rsidR="000353B1" w:rsidRDefault="00B84A77" w:rsidP="007415C7">
      <w:pPr>
        <w:numPr>
          <w:ilvl w:val="3"/>
          <w:numId w:val="2"/>
        </w:numPr>
        <w:pBdr>
          <w:top w:val="nil"/>
          <w:left w:val="nil"/>
          <w:bottom w:val="nil"/>
          <w:right w:val="nil"/>
          <w:between w:val="nil"/>
        </w:pBdr>
        <w:tabs>
          <w:tab w:val="left" w:pos="1985"/>
        </w:tabs>
        <w:spacing w:before="120" w:after="120"/>
        <w:ind w:left="1985" w:hanging="851"/>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14:paraId="3A1235B5" w14:textId="77777777" w:rsidR="000353B1" w:rsidRDefault="00B84A77" w:rsidP="007415C7">
      <w:pPr>
        <w:numPr>
          <w:ilvl w:val="3"/>
          <w:numId w:val="2"/>
        </w:numPr>
        <w:pBdr>
          <w:top w:val="nil"/>
          <w:left w:val="nil"/>
          <w:bottom w:val="nil"/>
          <w:right w:val="nil"/>
          <w:between w:val="nil"/>
        </w:pBdr>
        <w:tabs>
          <w:tab w:val="left" w:pos="1985"/>
        </w:tabs>
        <w:spacing w:before="120" w:after="120"/>
        <w:ind w:left="1985" w:hanging="851"/>
        <w:rPr>
          <w:rFonts w:ascii="Arial" w:eastAsia="Arial" w:hAnsi="Arial"/>
          <w:color w:val="000000"/>
          <w:sz w:val="24"/>
          <w:szCs w:val="24"/>
        </w:rPr>
      </w:pPr>
      <w:r>
        <w:rPr>
          <w:rFonts w:ascii="Arial" w:eastAsia="Arial" w:hAnsi="Arial"/>
          <w:color w:val="000000"/>
          <w:sz w:val="24"/>
          <w:szCs w:val="24"/>
        </w:rPr>
        <w:t xml:space="preserve">the external auditor of an FDE Group entity expressing a qualified opinion on, or including an emphasis of matter in, its opinion on the statutory accounts of that FDE </w:t>
      </w:r>
      <w:proofErr w:type="gramStart"/>
      <w:r>
        <w:rPr>
          <w:rFonts w:ascii="Arial" w:eastAsia="Arial" w:hAnsi="Arial"/>
          <w:color w:val="000000"/>
          <w:sz w:val="24"/>
          <w:szCs w:val="24"/>
        </w:rPr>
        <w:t>entity;</w:t>
      </w:r>
      <w:proofErr w:type="gramEnd"/>
    </w:p>
    <w:p w14:paraId="67A338B8" w14:textId="77777777" w:rsidR="000353B1" w:rsidRDefault="00B84A77" w:rsidP="007415C7">
      <w:pPr>
        <w:pBdr>
          <w:top w:val="nil"/>
          <w:left w:val="nil"/>
          <w:bottom w:val="nil"/>
          <w:right w:val="nil"/>
          <w:between w:val="nil"/>
        </w:pBdr>
        <w:tabs>
          <w:tab w:val="left" w:pos="1985"/>
        </w:tabs>
        <w:spacing w:before="120" w:after="120"/>
        <w:ind w:left="567"/>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14:paraId="7BC3CE1F" w14:textId="77777777" w:rsidR="000353B1" w:rsidRDefault="00B84A77" w:rsidP="007415C7">
      <w:pPr>
        <w:numPr>
          <w:ilvl w:val="2"/>
          <w:numId w:val="2"/>
        </w:numPr>
        <w:pBdr>
          <w:top w:val="nil"/>
          <w:left w:val="nil"/>
          <w:bottom w:val="nil"/>
          <w:right w:val="nil"/>
          <w:between w:val="nil"/>
        </w:pBdr>
        <w:tabs>
          <w:tab w:val="left" w:pos="1985"/>
        </w:tabs>
        <w:spacing w:before="120" w:after="120"/>
        <w:ind w:left="567" w:hanging="567"/>
        <w:rPr>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14:paraId="21C76EF4" w14:textId="77777777" w:rsidR="000353B1" w:rsidRDefault="00B84A77" w:rsidP="007415C7">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Pr>
          <w:rFonts w:ascii="Arial" w:eastAsia="Arial" w:hAnsi="Arial"/>
          <w:b/>
          <w:color w:val="000000"/>
          <w:sz w:val="24"/>
          <w:szCs w:val="24"/>
        </w:rPr>
        <w:t>Consequences of Financial Distress Events</w:t>
      </w:r>
    </w:p>
    <w:p w14:paraId="7AF84B7F" w14:textId="77777777" w:rsidR="000353B1" w:rsidRDefault="00B84A77" w:rsidP="007415C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 xml:space="preserve">Immediately upon notification by the Supplier of a Financial Distress Event (or if the Relevant Authority becomes aware of a Financial Distress Event without notification and brings the event to the attention of the Supplier), the Supplier shall have the </w:t>
      </w:r>
      <w:proofErr w:type="gramStart"/>
      <w:r>
        <w:rPr>
          <w:rFonts w:ascii="Arial" w:eastAsia="Arial" w:hAnsi="Arial"/>
          <w:color w:val="000000"/>
          <w:sz w:val="24"/>
          <w:szCs w:val="24"/>
        </w:rPr>
        <w:t>obligations</w:t>
      </w:r>
      <w:proofErr w:type="gramEnd"/>
      <w:r>
        <w:rPr>
          <w:rFonts w:ascii="Arial" w:eastAsia="Arial" w:hAnsi="Arial"/>
          <w:color w:val="000000"/>
          <w:sz w:val="24"/>
          <w:szCs w:val="24"/>
        </w:rPr>
        <w:t xml:space="preserve"> and the Relevant Authority shall have the rights and remedies as set out in Paragraphs 4.3 to 4.6.</w:t>
      </w:r>
    </w:p>
    <w:p w14:paraId="22754492" w14:textId="77777777" w:rsidR="000353B1" w:rsidRDefault="00B84A77" w:rsidP="007415C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3.1(e), the Relevant Authority shall not exercise any of its rights or remedies under Paragraph 4.3 without first giving the Supplier 10 Working Days to:</w:t>
      </w:r>
    </w:p>
    <w:p w14:paraId="07D44B37" w14:textId="77777777" w:rsidR="000353B1" w:rsidRDefault="00B84A77" w:rsidP="00FF5C4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rectify such late or non-payment; or</w:t>
      </w:r>
    </w:p>
    <w:p w14:paraId="76563CF7" w14:textId="77777777" w:rsidR="000353B1" w:rsidRDefault="00B84A77" w:rsidP="00FF5C4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656DD494" w14:textId="77777777" w:rsidR="000353B1" w:rsidRDefault="00B84A77" w:rsidP="00FF5C4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14:paraId="41810D8E" w14:textId="77777777" w:rsidR="000353B1" w:rsidRDefault="00B84A77" w:rsidP="00B7224D">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0EF1C79F" w14:textId="77777777" w:rsidR="000353B1" w:rsidRDefault="00B84A77" w:rsidP="00B7224D">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4.3(a) that the Financial Distress Event could impact on the continued performance and delivery of the Deliverables in accordance with the Contract:</w:t>
      </w:r>
    </w:p>
    <w:p w14:paraId="6C83D9BA" w14:textId="77777777" w:rsidR="000353B1" w:rsidRDefault="00B84A77" w:rsidP="00B7224D">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w:t>
      </w:r>
      <w:r>
        <w:rPr>
          <w:rFonts w:ascii="Arial" w:eastAsia="Arial" w:hAnsi="Arial"/>
          <w:color w:val="000000"/>
          <w:sz w:val="24"/>
          <w:szCs w:val="24"/>
        </w:rPr>
        <w:lastRenderedPageBreak/>
        <w:t>the Relevant Authority may permit and notify to the Supplier in writing); and</w:t>
      </w:r>
    </w:p>
    <w:p w14:paraId="1944B2E7" w14:textId="77777777" w:rsidR="000353B1" w:rsidRDefault="00B84A77" w:rsidP="00B7224D">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7B9004FB" w14:textId="77777777" w:rsidR="000353B1" w:rsidRDefault="00B84A77" w:rsidP="00B7224D">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5F1C12CF" w14:textId="77777777" w:rsidR="000353B1" w:rsidRDefault="00B84A77" w:rsidP="00B7224D">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530A7254" w14:textId="77777777" w:rsidR="000353B1" w:rsidRDefault="00B84A77" w:rsidP="00B7224D">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14:paraId="52D0E644" w14:textId="77777777" w:rsidR="000353B1" w:rsidRDefault="00B84A77" w:rsidP="000D19D9">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14:paraId="331EB22B" w14:textId="77777777" w:rsidR="000353B1" w:rsidRDefault="00B84A77" w:rsidP="000D19D9">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3BA5F1F0" w14:textId="77777777" w:rsidR="000353B1" w:rsidRDefault="00B84A77" w:rsidP="000D19D9">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w:t>
      </w:r>
      <w:proofErr w:type="gramStart"/>
      <w:r>
        <w:rPr>
          <w:rFonts w:ascii="Arial" w:eastAsia="Arial" w:hAnsi="Arial"/>
          <w:color w:val="000000"/>
          <w:sz w:val="24"/>
          <w:szCs w:val="24"/>
        </w:rPr>
        <w:t>changes;</w:t>
      </w:r>
      <w:proofErr w:type="gramEnd"/>
    </w:p>
    <w:p w14:paraId="683F679D" w14:textId="77777777" w:rsidR="000353B1" w:rsidRDefault="00B84A77" w:rsidP="000D19D9">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where updates are made to the Financial Distress Remediation Plan in accordance with Paragraph 4.6.1(a), submit an updated Financial Distress Remediation Plan to the Relevant Authority for its approval, and the provisions of Paragraphs 4.4 and 4.5 shall apply to the review and </w:t>
      </w:r>
      <w:r>
        <w:rPr>
          <w:rFonts w:ascii="Arial" w:eastAsia="Arial" w:hAnsi="Arial"/>
          <w:color w:val="000000"/>
          <w:sz w:val="24"/>
          <w:szCs w:val="24"/>
        </w:rPr>
        <w:lastRenderedPageBreak/>
        <w:t>approval process for the updated Financial Distress Remediation Plan; and</w:t>
      </w:r>
    </w:p>
    <w:p w14:paraId="6376F3A9" w14:textId="77777777" w:rsidR="000353B1" w:rsidRDefault="00B84A77" w:rsidP="00586C1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656E7D5F" w14:textId="77777777" w:rsidR="000353B1" w:rsidRDefault="00B84A77" w:rsidP="00507E78">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 xml:space="preserve">Where the Supplier reasonably believes that the relevant Financial Distress Event under Paragraph 4.1 (or the circumstance or matter which has caused or otherwise led to it) no longer exists, it shall notify the Relevant </w:t>
      </w:r>
      <w:proofErr w:type="gramStart"/>
      <w:r>
        <w:rPr>
          <w:rFonts w:ascii="Arial" w:eastAsia="Arial" w:hAnsi="Arial"/>
          <w:color w:val="000000"/>
          <w:sz w:val="24"/>
          <w:szCs w:val="24"/>
        </w:rPr>
        <w:t>Authority</w:t>
      </w:r>
      <w:proofErr w:type="gramEnd"/>
      <w:r>
        <w:rPr>
          <w:rFonts w:ascii="Arial" w:eastAsia="Arial" w:hAnsi="Arial"/>
          <w:color w:val="000000"/>
          <w:sz w:val="24"/>
          <w:szCs w:val="24"/>
        </w:rPr>
        <w:t xml:space="preserve"> and the Parties may agree that the Supplier shall be relieved of its obligations under Paragraph 4.6.</w:t>
      </w:r>
    </w:p>
    <w:p w14:paraId="5ACCA3B1" w14:textId="77777777" w:rsidR="000353B1" w:rsidRDefault="00B84A77" w:rsidP="00507E78">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4.3(b)(ii) is available when required and on request from the Relevant Authority and within reasonable timescales. Such measures may include:</w:t>
      </w:r>
    </w:p>
    <w:p w14:paraId="77B092A4" w14:textId="77777777" w:rsidR="000353B1" w:rsidRDefault="00B84A77" w:rsidP="00507E7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obtaining in advance written authority from Key Sub-contractors, the Guarantor and/or Monitored Suppliers authorising the disclosure of the information to the Buyer and/or entering into confidentiality agreements which permit </w:t>
      </w:r>
      <w:proofErr w:type="gramStart"/>
      <w:r>
        <w:rPr>
          <w:rFonts w:ascii="Arial" w:eastAsia="Arial" w:hAnsi="Arial"/>
          <w:color w:val="000000"/>
          <w:sz w:val="24"/>
          <w:szCs w:val="24"/>
        </w:rPr>
        <w:t>disclosure;</w:t>
      </w:r>
      <w:proofErr w:type="gramEnd"/>
    </w:p>
    <w:p w14:paraId="4BF69982" w14:textId="77777777" w:rsidR="000353B1" w:rsidRDefault="00B84A77" w:rsidP="00507E7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agreeing in advance with the Relevant Authority, Key Sub-contractors, the Guarantor and/or Monitored Suppliers a form of confidentiality agreement to be entered by the relevant parties to enable the disclosure of the information to the Relevant </w:t>
      </w:r>
      <w:proofErr w:type="gramStart"/>
      <w:r>
        <w:rPr>
          <w:rFonts w:ascii="Arial" w:eastAsia="Arial" w:hAnsi="Arial"/>
          <w:color w:val="000000"/>
          <w:sz w:val="24"/>
          <w:szCs w:val="24"/>
        </w:rPr>
        <w:t>Authority;</w:t>
      </w:r>
      <w:proofErr w:type="gramEnd"/>
    </w:p>
    <w:p w14:paraId="4E6BFAD9" w14:textId="77777777" w:rsidR="000353B1" w:rsidRDefault="00B84A77" w:rsidP="00507E7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 disclosing the information to the fullest extent that it is lawfully entitled to do so, including through the use of redaction, anonymisation and any other techniques to permit disclosure of the information without breaching a duty of confidentiality.</w:t>
      </w:r>
    </w:p>
    <w:p w14:paraId="1F8342E2" w14:textId="77777777" w:rsidR="000353B1" w:rsidRDefault="00B84A77" w:rsidP="00507E78">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Financial Indicator</w:t>
      </w:r>
      <w:r>
        <w:rPr>
          <w:rFonts w:ascii="Arial" w:eastAsia="Arial" w:hAnsi="Arial"/>
          <w:b/>
          <w:sz w:val="24"/>
          <w:szCs w:val="24"/>
        </w:rPr>
        <w:t>s</w:t>
      </w:r>
    </w:p>
    <w:p w14:paraId="09A988BC" w14:textId="77777777" w:rsidR="000353B1" w:rsidRDefault="00B84A77" w:rsidP="00507E78">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14:paraId="47EF435A" w14:textId="77777777" w:rsidR="000353B1" w:rsidRDefault="000353B1">
      <w:pPr>
        <w:pBdr>
          <w:top w:val="nil"/>
          <w:left w:val="nil"/>
          <w:bottom w:val="nil"/>
          <w:right w:val="nil"/>
          <w:between w:val="nil"/>
        </w:pBdr>
        <w:tabs>
          <w:tab w:val="left" w:pos="1134"/>
        </w:tabs>
        <w:spacing w:before="120" w:after="120"/>
        <w:jc w:val="left"/>
        <w:rPr>
          <w:rFonts w:ascii="Arial" w:eastAsia="Arial" w:hAnsi="Arial"/>
          <w:color w:val="000000"/>
          <w:sz w:val="24"/>
          <w:szCs w:val="24"/>
        </w:rPr>
      </w:pPr>
    </w:p>
    <w:tbl>
      <w:tblPr>
        <w:tblStyle w:val="aff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2126"/>
        <w:gridCol w:w="1418"/>
        <w:gridCol w:w="3067"/>
      </w:tblGrid>
      <w:tr w:rsidR="000353B1" w14:paraId="3EDE0B5C" w14:textId="77777777">
        <w:tc>
          <w:tcPr>
            <w:tcW w:w="2405" w:type="dxa"/>
            <w:shd w:val="clear" w:color="auto" w:fill="D9D9D9"/>
            <w:vAlign w:val="center"/>
          </w:tcPr>
          <w:p w14:paraId="40F7B03B"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r>
              <w:rPr>
                <w:rFonts w:ascii="Arial" w:eastAsia="Arial" w:hAnsi="Arial"/>
                <w:sz w:val="24"/>
                <w:szCs w:val="24"/>
              </w:rPr>
              <w:t>Financial Indicator</w:t>
            </w:r>
          </w:p>
        </w:tc>
        <w:tc>
          <w:tcPr>
            <w:tcW w:w="2126" w:type="dxa"/>
            <w:shd w:val="clear" w:color="auto" w:fill="D9D9D9"/>
            <w:vAlign w:val="center"/>
          </w:tcPr>
          <w:p w14:paraId="7930ADC8"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r>
              <w:rPr>
                <w:rFonts w:ascii="Arial" w:eastAsia="Arial" w:hAnsi="Arial"/>
                <w:sz w:val="24"/>
                <w:szCs w:val="24"/>
              </w:rPr>
              <w:t>Calculation</w:t>
            </w:r>
            <w:r>
              <w:rPr>
                <w:rFonts w:ascii="Arial" w:eastAsia="Arial" w:hAnsi="Arial"/>
                <w:sz w:val="24"/>
                <w:szCs w:val="24"/>
                <w:vertAlign w:val="superscript"/>
              </w:rPr>
              <w:t>1</w:t>
            </w:r>
          </w:p>
        </w:tc>
        <w:tc>
          <w:tcPr>
            <w:tcW w:w="1418" w:type="dxa"/>
            <w:shd w:val="clear" w:color="auto" w:fill="D9D9D9"/>
            <w:vAlign w:val="center"/>
          </w:tcPr>
          <w:p w14:paraId="5B87D681"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r>
              <w:rPr>
                <w:rFonts w:ascii="Arial" w:eastAsia="Arial" w:hAnsi="Arial"/>
                <w:sz w:val="24"/>
                <w:szCs w:val="24"/>
              </w:rPr>
              <w:t>Financial Target Threshold:</w:t>
            </w:r>
          </w:p>
        </w:tc>
        <w:tc>
          <w:tcPr>
            <w:tcW w:w="3067" w:type="dxa"/>
            <w:shd w:val="clear" w:color="auto" w:fill="D9D9D9"/>
            <w:vAlign w:val="center"/>
          </w:tcPr>
          <w:p w14:paraId="053CEEA8"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bookmarkStart w:id="2" w:name="_heading=h.gjdgxs" w:colFirst="0" w:colLast="0"/>
            <w:bookmarkEnd w:id="2"/>
            <w:r>
              <w:rPr>
                <w:rFonts w:ascii="Arial" w:eastAsia="Arial" w:hAnsi="Arial"/>
                <w:sz w:val="24"/>
                <w:szCs w:val="24"/>
              </w:rPr>
              <w:t>Monitoring and Reporting Frequency</w:t>
            </w:r>
          </w:p>
          <w:p w14:paraId="0D9C43B4" w14:textId="77777777" w:rsidR="000353B1" w:rsidRDefault="000353B1">
            <w:pPr>
              <w:pBdr>
                <w:top w:val="nil"/>
                <w:left w:val="nil"/>
                <w:bottom w:val="nil"/>
                <w:right w:val="nil"/>
                <w:between w:val="nil"/>
              </w:pBdr>
              <w:spacing w:before="100" w:after="200"/>
              <w:jc w:val="center"/>
              <w:rPr>
                <w:rFonts w:ascii="Arial" w:eastAsia="Arial" w:hAnsi="Arial"/>
                <w:sz w:val="24"/>
                <w:szCs w:val="24"/>
              </w:rPr>
            </w:pPr>
          </w:p>
        </w:tc>
      </w:tr>
      <w:tr w:rsidR="000353B1" w14:paraId="3116D85F" w14:textId="77777777">
        <w:tc>
          <w:tcPr>
            <w:tcW w:w="2405" w:type="dxa"/>
            <w:vAlign w:val="center"/>
          </w:tcPr>
          <w:p w14:paraId="6766A063" w14:textId="77777777" w:rsidR="000353B1" w:rsidRDefault="00B84A77">
            <w:pPr>
              <w:pBdr>
                <w:top w:val="nil"/>
                <w:left w:val="nil"/>
                <w:bottom w:val="nil"/>
                <w:right w:val="nil"/>
                <w:between w:val="nil"/>
              </w:pBdr>
              <w:spacing w:before="100" w:after="200"/>
              <w:rPr>
                <w:rFonts w:ascii="Arial" w:eastAsia="Arial" w:hAnsi="Arial"/>
                <w:b/>
              </w:rPr>
            </w:pPr>
            <w:r>
              <w:rPr>
                <w:rFonts w:ascii="Arial" w:eastAsia="Arial" w:hAnsi="Arial"/>
                <w:b/>
              </w:rPr>
              <w:lastRenderedPageBreak/>
              <w:t>1.Operating Margin</w:t>
            </w:r>
          </w:p>
        </w:tc>
        <w:tc>
          <w:tcPr>
            <w:tcW w:w="2126" w:type="dxa"/>
            <w:vAlign w:val="center"/>
          </w:tcPr>
          <w:p w14:paraId="6723D93E"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rPr>
              <w:t>Operating Margin = Operating Profit / Revenue</w:t>
            </w:r>
          </w:p>
        </w:tc>
        <w:tc>
          <w:tcPr>
            <w:tcW w:w="1418" w:type="dxa"/>
            <w:vAlign w:val="center"/>
          </w:tcPr>
          <w:p w14:paraId="65521336" w14:textId="77777777" w:rsidR="000353B1" w:rsidRDefault="00B84A77">
            <w:pPr>
              <w:spacing w:after="0"/>
              <w:jc w:val="center"/>
              <w:rPr>
                <w:rFonts w:ascii="Arial" w:eastAsia="Arial" w:hAnsi="Arial"/>
                <w:color w:val="000000"/>
              </w:rPr>
            </w:pPr>
            <w:r>
              <w:rPr>
                <w:rFonts w:ascii="Arial" w:eastAsia="Arial" w:hAnsi="Arial"/>
                <w:color w:val="000000"/>
              </w:rPr>
              <w:t>x &lt; 2.0%</w:t>
            </w:r>
          </w:p>
          <w:p w14:paraId="18B7E9D8"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6292B42C" w14:textId="78D30179"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 xml:space="preserve">120 </w:t>
            </w:r>
            <w:r>
              <w:rPr>
                <w:rFonts w:ascii="Arial" w:eastAsia="Arial" w:hAnsi="Arial"/>
                <w:i/>
                <w:sz w:val="24"/>
                <w:szCs w:val="24"/>
              </w:rPr>
              <w:t>days of each accounting reference date based upon figures for the 12 months ending on the relevant accounting reference date</w:t>
            </w:r>
          </w:p>
        </w:tc>
      </w:tr>
      <w:tr w:rsidR="000353B1" w14:paraId="1829DF1B" w14:textId="77777777">
        <w:tc>
          <w:tcPr>
            <w:tcW w:w="2405" w:type="dxa"/>
            <w:vAlign w:val="center"/>
          </w:tcPr>
          <w:p w14:paraId="54778CED"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2. Net Debt to EBITDA Ratio</w:t>
            </w:r>
          </w:p>
        </w:tc>
        <w:tc>
          <w:tcPr>
            <w:tcW w:w="2126" w:type="dxa"/>
            <w:vAlign w:val="center"/>
          </w:tcPr>
          <w:p w14:paraId="096646D4"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rPr>
              <w:t>Net Debt to EBITDA ratio = Net Debt / EBITDA</w:t>
            </w:r>
          </w:p>
        </w:tc>
        <w:tc>
          <w:tcPr>
            <w:tcW w:w="1418" w:type="dxa"/>
            <w:vAlign w:val="center"/>
          </w:tcPr>
          <w:p w14:paraId="33B7E79E" w14:textId="77777777" w:rsidR="000353B1" w:rsidRDefault="00B84A77">
            <w:pPr>
              <w:spacing w:after="0"/>
              <w:jc w:val="center"/>
              <w:rPr>
                <w:rFonts w:ascii="Arial" w:eastAsia="Arial" w:hAnsi="Arial"/>
                <w:color w:val="000000"/>
              </w:rPr>
            </w:pPr>
            <w:r>
              <w:rPr>
                <w:rFonts w:ascii="Arial" w:eastAsia="Arial" w:hAnsi="Arial"/>
                <w:color w:val="000000"/>
              </w:rPr>
              <w:t>x &gt; 3.5</w:t>
            </w:r>
          </w:p>
          <w:p w14:paraId="313D5F82"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1A85C02B" w14:textId="2E08C674"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120</w:t>
            </w:r>
            <w:r>
              <w:rPr>
                <w:rFonts w:ascii="Arial" w:eastAsia="Arial" w:hAnsi="Arial"/>
                <w:i/>
                <w:sz w:val="24"/>
                <w:szCs w:val="24"/>
              </w:rPr>
              <w:t xml:space="preserve"> days of each accounting reference date based upon EBITDA for the 12 months ending on, and Net Debt at, the relevant accounting reference date</w:t>
            </w:r>
          </w:p>
        </w:tc>
      </w:tr>
      <w:tr w:rsidR="000353B1" w14:paraId="0D8FC256" w14:textId="77777777">
        <w:tc>
          <w:tcPr>
            <w:tcW w:w="2405" w:type="dxa"/>
            <w:vAlign w:val="center"/>
          </w:tcPr>
          <w:p w14:paraId="1960CC1A"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3. Net Debt + Net Pension Deficit to EBITDA ratio</w:t>
            </w:r>
          </w:p>
        </w:tc>
        <w:tc>
          <w:tcPr>
            <w:tcW w:w="2126" w:type="dxa"/>
            <w:vAlign w:val="center"/>
          </w:tcPr>
          <w:p w14:paraId="3182CB40" w14:textId="77777777" w:rsidR="000353B1" w:rsidRDefault="00B84A77">
            <w:pPr>
              <w:pBdr>
                <w:top w:val="nil"/>
                <w:left w:val="nil"/>
                <w:bottom w:val="nil"/>
                <w:right w:val="nil"/>
                <w:between w:val="nil"/>
              </w:pBdr>
              <w:spacing w:before="100" w:after="200"/>
              <w:jc w:val="center"/>
              <w:rPr>
                <w:rFonts w:ascii="Arial" w:eastAsia="Arial" w:hAnsi="Arial"/>
              </w:rPr>
            </w:pPr>
            <w:r>
              <w:rPr>
                <w:rFonts w:ascii="Arial" w:eastAsia="Arial" w:hAnsi="Arial"/>
              </w:rPr>
              <w:t>Net Debt + Net Pension Deficit to EBITDA Ratio = (Net Debt + Net Pension Deficit) / EBITDA</w:t>
            </w:r>
          </w:p>
        </w:tc>
        <w:tc>
          <w:tcPr>
            <w:tcW w:w="1418" w:type="dxa"/>
            <w:vAlign w:val="center"/>
          </w:tcPr>
          <w:p w14:paraId="01BC2CDF" w14:textId="77777777" w:rsidR="000353B1" w:rsidRDefault="00B84A77">
            <w:pPr>
              <w:spacing w:after="0"/>
              <w:jc w:val="center"/>
              <w:rPr>
                <w:rFonts w:ascii="Arial" w:eastAsia="Arial" w:hAnsi="Arial"/>
                <w:color w:val="000000"/>
              </w:rPr>
            </w:pPr>
            <w:r>
              <w:rPr>
                <w:rFonts w:ascii="Arial" w:eastAsia="Arial" w:hAnsi="Arial"/>
                <w:color w:val="000000"/>
              </w:rPr>
              <w:t>x &gt; 3.5</w:t>
            </w:r>
          </w:p>
          <w:p w14:paraId="2B121997"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706C80A2" w14:textId="214D70F7"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120</w:t>
            </w:r>
            <w:r>
              <w:rPr>
                <w:rFonts w:ascii="Arial" w:eastAsia="Arial" w:hAnsi="Arial"/>
                <w:i/>
                <w:sz w:val="24"/>
                <w:szCs w:val="24"/>
              </w:rPr>
              <w:t xml:space="preserve"> days of each accounting reference date based upon EBITDA for the 12 months ending on, and the Net Debt and Net Pension Deficit at, the relevant accounting reference date</w:t>
            </w:r>
          </w:p>
        </w:tc>
      </w:tr>
      <w:tr w:rsidR="000353B1" w14:paraId="18C38EE2" w14:textId="77777777">
        <w:tc>
          <w:tcPr>
            <w:tcW w:w="2405" w:type="dxa"/>
            <w:vAlign w:val="center"/>
          </w:tcPr>
          <w:p w14:paraId="5F1F1DE7"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4. Net Interest Paid Cover</w:t>
            </w:r>
          </w:p>
        </w:tc>
        <w:tc>
          <w:tcPr>
            <w:tcW w:w="2126" w:type="dxa"/>
            <w:vAlign w:val="center"/>
          </w:tcPr>
          <w:p w14:paraId="47CB1DC1"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rPr>
              <w:t>Net Interest Paid Cover = Earnings Before Interest and Tax / Net Interest Paid</w:t>
            </w:r>
          </w:p>
        </w:tc>
        <w:tc>
          <w:tcPr>
            <w:tcW w:w="1418" w:type="dxa"/>
            <w:vAlign w:val="center"/>
          </w:tcPr>
          <w:p w14:paraId="56415219" w14:textId="77777777" w:rsidR="000353B1" w:rsidRDefault="00B84A77">
            <w:pPr>
              <w:spacing w:after="0"/>
              <w:jc w:val="center"/>
              <w:rPr>
                <w:rFonts w:ascii="Arial" w:eastAsia="Arial" w:hAnsi="Arial"/>
                <w:color w:val="000000"/>
              </w:rPr>
            </w:pPr>
            <w:r>
              <w:rPr>
                <w:rFonts w:ascii="Arial" w:eastAsia="Arial" w:hAnsi="Arial"/>
                <w:color w:val="000000"/>
              </w:rPr>
              <w:t>x &lt; 3</w:t>
            </w:r>
          </w:p>
          <w:p w14:paraId="22F772E2"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09FF0DDD" w14:textId="17C5A8AC"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120</w:t>
            </w:r>
            <w:r>
              <w:rPr>
                <w:rFonts w:ascii="Arial" w:eastAsia="Arial" w:hAnsi="Arial"/>
                <w:i/>
                <w:sz w:val="24"/>
                <w:szCs w:val="24"/>
              </w:rPr>
              <w:t xml:space="preserve"> days of each accounting reference date based upon figures for the 12 months ending on the relevant accounting reference date</w:t>
            </w:r>
          </w:p>
        </w:tc>
      </w:tr>
      <w:tr w:rsidR="000353B1" w14:paraId="646E4DDB" w14:textId="77777777">
        <w:tc>
          <w:tcPr>
            <w:tcW w:w="2405" w:type="dxa"/>
            <w:vAlign w:val="center"/>
          </w:tcPr>
          <w:p w14:paraId="214D4567"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5. Acid Ratio</w:t>
            </w:r>
          </w:p>
        </w:tc>
        <w:tc>
          <w:tcPr>
            <w:tcW w:w="2126" w:type="dxa"/>
            <w:vAlign w:val="center"/>
          </w:tcPr>
          <w:p w14:paraId="2C6C36F8" w14:textId="77777777" w:rsidR="000353B1" w:rsidRDefault="00B84A77">
            <w:pPr>
              <w:pBdr>
                <w:top w:val="nil"/>
                <w:left w:val="nil"/>
                <w:bottom w:val="nil"/>
                <w:right w:val="nil"/>
                <w:between w:val="nil"/>
              </w:pBdr>
              <w:spacing w:before="100" w:after="200"/>
              <w:jc w:val="center"/>
              <w:rPr>
                <w:rFonts w:ascii="Arial" w:eastAsia="Arial" w:hAnsi="Arial"/>
              </w:rPr>
            </w:pPr>
            <w:r>
              <w:rPr>
                <w:rFonts w:ascii="Arial" w:eastAsia="Arial" w:hAnsi="Arial"/>
              </w:rPr>
              <w:t>Acid Ratio = (Current Assets – Inventories) / Current Liabilities</w:t>
            </w:r>
          </w:p>
        </w:tc>
        <w:tc>
          <w:tcPr>
            <w:tcW w:w="1418" w:type="dxa"/>
            <w:vAlign w:val="center"/>
          </w:tcPr>
          <w:p w14:paraId="4E85848F" w14:textId="77777777" w:rsidR="000353B1" w:rsidRDefault="00B84A77">
            <w:pPr>
              <w:spacing w:after="0"/>
              <w:jc w:val="center"/>
              <w:rPr>
                <w:rFonts w:ascii="Arial" w:eastAsia="Arial" w:hAnsi="Arial"/>
                <w:color w:val="000000"/>
              </w:rPr>
            </w:pPr>
            <w:r>
              <w:rPr>
                <w:rFonts w:ascii="Arial" w:eastAsia="Arial" w:hAnsi="Arial"/>
                <w:color w:val="000000"/>
              </w:rPr>
              <w:t>x &lt; 0.8</w:t>
            </w:r>
          </w:p>
          <w:p w14:paraId="733B5230"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45CCFF63" w14:textId="6A4C65D0" w:rsidR="000353B1" w:rsidRDefault="00B84A77">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 xml:space="preserve">120 </w:t>
            </w:r>
            <w:r>
              <w:rPr>
                <w:rFonts w:ascii="Arial" w:eastAsia="Arial" w:hAnsi="Arial"/>
                <w:i/>
                <w:sz w:val="24"/>
                <w:szCs w:val="24"/>
              </w:rPr>
              <w:t>days of each accounting reference date based upon figures at the relevant accounting reference date</w:t>
            </w:r>
          </w:p>
        </w:tc>
      </w:tr>
    </w:tbl>
    <w:p w14:paraId="4B00066A" w14:textId="77777777" w:rsidR="000353B1" w:rsidRDefault="000353B1">
      <w:pPr>
        <w:pBdr>
          <w:top w:val="nil"/>
          <w:left w:val="nil"/>
          <w:bottom w:val="nil"/>
          <w:right w:val="nil"/>
          <w:between w:val="nil"/>
        </w:pBdr>
        <w:tabs>
          <w:tab w:val="left" w:pos="142"/>
        </w:tabs>
        <w:spacing w:before="120"/>
        <w:rPr>
          <w:rFonts w:ascii="Arial" w:eastAsia="Arial" w:hAnsi="Arial"/>
          <w:color w:val="000000"/>
          <w:sz w:val="24"/>
          <w:szCs w:val="24"/>
        </w:rPr>
      </w:pPr>
    </w:p>
    <w:p w14:paraId="5B02F06A" w14:textId="77777777" w:rsidR="000353B1" w:rsidRDefault="00B84A77">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lastRenderedPageBreak/>
        <w:t>Key: 1 – see Annex 3 to this Schedule which sets out the calculation methodology to be used in the calculation of each financial indicator.</w:t>
      </w:r>
    </w:p>
    <w:p w14:paraId="5AB41F8C" w14:textId="77777777" w:rsidR="000353B1" w:rsidRDefault="000353B1">
      <w:pPr>
        <w:pBdr>
          <w:top w:val="nil"/>
          <w:left w:val="nil"/>
          <w:bottom w:val="nil"/>
          <w:right w:val="nil"/>
          <w:between w:val="nil"/>
        </w:pBdr>
        <w:tabs>
          <w:tab w:val="left" w:pos="1134"/>
        </w:tabs>
        <w:spacing w:before="120" w:after="120"/>
        <w:ind w:left="360" w:hanging="1004"/>
        <w:jc w:val="left"/>
        <w:rPr>
          <w:color w:val="000000"/>
        </w:rPr>
      </w:pPr>
    </w:p>
    <w:p w14:paraId="4B2B2BDB" w14:textId="77777777" w:rsidR="000353B1" w:rsidRDefault="00B84A77" w:rsidP="00A87EA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Termination rights</w:t>
      </w:r>
    </w:p>
    <w:p w14:paraId="523E3CE9" w14:textId="77777777" w:rsidR="000353B1" w:rsidRDefault="00B84A77" w:rsidP="00A87EA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14:paraId="38B39402" w14:textId="77777777" w:rsidR="000353B1" w:rsidRDefault="00B84A77" w:rsidP="00A87EA5">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w:t>
      </w:r>
      <w:proofErr w:type="gramStart"/>
      <w:r>
        <w:rPr>
          <w:rFonts w:ascii="Arial" w:eastAsia="Arial" w:hAnsi="Arial"/>
          <w:color w:val="000000"/>
          <w:sz w:val="24"/>
          <w:szCs w:val="24"/>
        </w:rPr>
        <w:t>2.3(c);</w:t>
      </w:r>
      <w:proofErr w:type="gramEnd"/>
    </w:p>
    <w:p w14:paraId="5C41D0A4" w14:textId="77777777" w:rsidR="000353B1" w:rsidRDefault="00B84A77" w:rsidP="00A87EA5">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14:paraId="63EDFB18" w14:textId="77777777" w:rsidR="000353B1" w:rsidRDefault="00B84A77" w:rsidP="00A87EA5">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4.6(c),</w:t>
      </w:r>
    </w:p>
    <w:p w14:paraId="3BC6A78D" w14:textId="77777777" w:rsidR="000353B1" w:rsidRDefault="00B84A77" w:rsidP="00A87EA5">
      <w:p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sz w:val="24"/>
          <w:szCs w:val="24"/>
        </w:rPr>
        <w:tab/>
      </w:r>
      <w:r>
        <w:rPr>
          <w:rFonts w:ascii="Arial" w:eastAsia="Arial" w:hAnsi="Arial"/>
          <w:sz w:val="24"/>
          <w:szCs w:val="24"/>
        </w:rPr>
        <w:tab/>
      </w:r>
      <w:r>
        <w:rPr>
          <w:rFonts w:ascii="Arial" w:eastAsia="Arial" w:hAnsi="Arial"/>
          <w:color w:val="000000"/>
          <w:sz w:val="24"/>
          <w:szCs w:val="24"/>
        </w:rPr>
        <w:t>which shall be deemed to be an event to which Clause 10.4.1 of the Core Terms applies and Clauses 10.6.1 and 10.6.2 of the Core Terms shall apply accordingly.</w:t>
      </w:r>
    </w:p>
    <w:p w14:paraId="4F16B246" w14:textId="77777777" w:rsidR="000353B1" w:rsidRDefault="00B84A77">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Primacy of Credit Ratings</w:t>
      </w:r>
    </w:p>
    <w:p w14:paraId="34C21068" w14:textId="77777777" w:rsidR="000353B1" w:rsidRDefault="00B84A77" w:rsidP="00DC22A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3.1(b) to 3.1(g), the Rating Agencies review and report subsequently that the credit ratings for the FDE Group entities do not drop below the relevant Credit Rating Thresholds specified for those entities in Annex 2 to this Schedule, then:</w:t>
      </w:r>
    </w:p>
    <w:p w14:paraId="13FC2B9E"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4C220AF7"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4.3(b)(ii).</w:t>
      </w:r>
    </w:p>
    <w:p w14:paraId="510B72E8" w14:textId="77777777" w:rsidR="000353B1" w:rsidRDefault="00B84A77" w:rsidP="00DC22A1">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Board confirmation</w:t>
      </w:r>
    </w:p>
    <w:p w14:paraId="3F440B91" w14:textId="77777777" w:rsidR="000353B1" w:rsidRDefault="00B84A77" w:rsidP="00DC22A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If the Contract has been specified as a Critical Service Contract under Paragraph 2.1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307C98FC"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14:paraId="3705D72F"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14:paraId="761D0588" w14:textId="77777777" w:rsidR="000353B1" w:rsidRDefault="00B84A77" w:rsidP="00792A90">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lastRenderedPageBreak/>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526A1BFB" w14:textId="77777777" w:rsidR="000353B1" w:rsidRDefault="00B84A77" w:rsidP="00792A90">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4BC0437A" w14:textId="77777777" w:rsidR="000353B1" w:rsidRDefault="00B84A77" w:rsidP="00792A90">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1672A2D3" w14:textId="77777777" w:rsidR="000353B1" w:rsidRDefault="000353B1">
      <w:pPr>
        <w:pBdr>
          <w:top w:val="nil"/>
          <w:left w:val="nil"/>
          <w:bottom w:val="nil"/>
          <w:right w:val="nil"/>
          <w:between w:val="nil"/>
        </w:pBdr>
        <w:tabs>
          <w:tab w:val="left" w:pos="142"/>
        </w:tabs>
        <w:spacing w:before="120"/>
        <w:ind w:left="360" w:hanging="360"/>
        <w:rPr>
          <w:b/>
          <w:smallCaps/>
          <w:color w:val="000000"/>
        </w:rPr>
      </w:pPr>
    </w:p>
    <w:p w14:paraId="46DD4933" w14:textId="77777777" w:rsidR="000353B1" w:rsidRDefault="00B84A77">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14:paraId="324E0D7C" w14:textId="77777777" w:rsidR="000353B1" w:rsidRDefault="00B84A7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and Bradstreet</w:t>
      </w:r>
    </w:p>
    <w:p w14:paraId="77680D5C" w14:textId="77777777" w:rsidR="000353B1" w:rsidRDefault="000353B1">
      <w:pPr>
        <w:keepNext/>
        <w:pBdr>
          <w:top w:val="nil"/>
          <w:left w:val="nil"/>
          <w:bottom w:val="nil"/>
          <w:right w:val="nil"/>
          <w:between w:val="nil"/>
        </w:pBdr>
        <w:spacing w:before="240" w:after="120"/>
        <w:ind w:left="142"/>
        <w:jc w:val="left"/>
        <w:rPr>
          <w:rFonts w:ascii="Arial" w:eastAsia="Arial" w:hAnsi="Arial"/>
          <w:color w:val="000000"/>
          <w:sz w:val="24"/>
          <w:szCs w:val="24"/>
        </w:rPr>
      </w:pPr>
    </w:p>
    <w:p w14:paraId="6DD56EEA" w14:textId="77777777" w:rsidR="000353B1" w:rsidRDefault="00B84A77">
      <w:pPr>
        <w:spacing w:after="200" w:line="276" w:lineRule="auto"/>
        <w:jc w:val="left"/>
        <w:rPr>
          <w:rFonts w:ascii="Arial" w:eastAsia="Arial" w:hAnsi="Arial"/>
          <w:sz w:val="24"/>
          <w:szCs w:val="24"/>
        </w:rPr>
      </w:pPr>
      <w:r>
        <w:br w:type="page"/>
      </w:r>
    </w:p>
    <w:p w14:paraId="300D07D0" w14:textId="77777777" w:rsidR="000353B1" w:rsidRDefault="00B84A77">
      <w:pPr>
        <w:pBdr>
          <w:top w:val="nil"/>
          <w:left w:val="nil"/>
          <w:bottom w:val="nil"/>
          <w:right w:val="nil"/>
          <w:between w:val="nil"/>
        </w:pBdr>
        <w:spacing w:before="100" w:after="300"/>
        <w:rPr>
          <w:rFonts w:ascii="Arial" w:eastAsia="Arial" w:hAnsi="Arial"/>
          <w:b/>
          <w:smallCaps/>
          <w:sz w:val="24"/>
          <w:szCs w:val="24"/>
        </w:rPr>
      </w:pPr>
      <w:bookmarkStart w:id="3" w:name="_heading=h.1fob9te" w:colFirst="0" w:colLast="0"/>
      <w:bookmarkEnd w:id="3"/>
      <w:r>
        <w:rPr>
          <w:rFonts w:ascii="Arial" w:eastAsia="Arial" w:hAnsi="Arial"/>
          <w:b/>
          <w:color w:val="000000"/>
          <w:sz w:val="24"/>
          <w:szCs w:val="24"/>
        </w:rPr>
        <w:lastRenderedPageBreak/>
        <w:t>Annex 2</w:t>
      </w:r>
      <w:r>
        <w:rPr>
          <w:rFonts w:ascii="Arial" w:eastAsia="Arial" w:hAnsi="Arial"/>
          <w:b/>
          <w:smallCaps/>
          <w:color w:val="000000"/>
          <w:sz w:val="24"/>
          <w:szCs w:val="24"/>
        </w:rPr>
        <w:t xml:space="preserve">: </w:t>
      </w:r>
      <w:r>
        <w:rPr>
          <w:rFonts w:ascii="Arial" w:eastAsia="Arial" w:hAnsi="Arial"/>
          <w:b/>
          <w:color w:val="000000"/>
          <w:sz w:val="24"/>
          <w:szCs w:val="24"/>
        </w:rPr>
        <w:t>Credit Ratings and Credit Rating Thresholds</w:t>
      </w:r>
    </w:p>
    <w:p w14:paraId="7EF17353" w14:textId="77777777" w:rsidR="000353B1" w:rsidRDefault="00B84A77">
      <w:pPr>
        <w:keepNext/>
        <w:ind w:firstLine="426"/>
        <w:jc w:val="left"/>
        <w:rPr>
          <w:rFonts w:ascii="Arial" w:eastAsia="Arial" w:hAnsi="Arial"/>
          <w:b/>
          <w:smallCaps/>
          <w:strike/>
          <w:sz w:val="24"/>
          <w:szCs w:val="24"/>
        </w:rPr>
      </w:pPr>
      <w:r>
        <w:rPr>
          <w:rFonts w:ascii="Arial" w:eastAsia="Arial" w:hAnsi="Arial"/>
          <w:b/>
          <w:strike/>
          <w:sz w:val="24"/>
          <w:szCs w:val="24"/>
        </w:rPr>
        <w:t>Part 1: Current Rating - Lot 1a, 2a and 3a</w:t>
      </w:r>
    </w:p>
    <w:tbl>
      <w:tblPr>
        <w:tblStyle w:val="aff5"/>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353B1" w14:paraId="62F6B6AE" w14:textId="77777777">
        <w:tc>
          <w:tcPr>
            <w:tcW w:w="3080" w:type="dxa"/>
            <w:tcBorders>
              <w:top w:val="single" w:sz="4" w:space="0" w:color="000000"/>
            </w:tcBorders>
            <w:shd w:val="clear" w:color="auto" w:fill="FFFFFF"/>
          </w:tcPr>
          <w:p w14:paraId="0FE24346"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Entity</w:t>
            </w:r>
          </w:p>
        </w:tc>
        <w:tc>
          <w:tcPr>
            <w:tcW w:w="3081" w:type="dxa"/>
            <w:tcBorders>
              <w:top w:val="single" w:sz="4" w:space="0" w:color="000000"/>
            </w:tcBorders>
            <w:shd w:val="clear" w:color="auto" w:fill="FFFFFF"/>
          </w:tcPr>
          <w:p w14:paraId="763B7B51"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Credit rating (long term)</w:t>
            </w:r>
          </w:p>
        </w:tc>
      </w:tr>
      <w:tr w:rsidR="000353B1" w14:paraId="4E9C18E5" w14:textId="77777777">
        <w:tc>
          <w:tcPr>
            <w:tcW w:w="3080" w:type="dxa"/>
            <w:shd w:val="clear" w:color="auto" w:fill="FFFFFF"/>
          </w:tcPr>
          <w:p w14:paraId="2DCB0C8D"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Supplier</w:t>
            </w:r>
          </w:p>
        </w:tc>
        <w:tc>
          <w:tcPr>
            <w:tcW w:w="3081" w:type="dxa"/>
            <w:shd w:val="clear" w:color="auto" w:fill="FFFFFF"/>
          </w:tcPr>
          <w:p w14:paraId="61AD40CE"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45</w:t>
            </w:r>
          </w:p>
        </w:tc>
      </w:tr>
      <w:tr w:rsidR="000353B1" w14:paraId="5645F62B" w14:textId="77777777">
        <w:tc>
          <w:tcPr>
            <w:tcW w:w="3080" w:type="dxa"/>
            <w:shd w:val="clear" w:color="auto" w:fill="FFFFFF"/>
          </w:tcPr>
          <w:p w14:paraId="5573DEE9"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[Guarantor]</w:t>
            </w:r>
          </w:p>
        </w:tc>
        <w:tc>
          <w:tcPr>
            <w:tcW w:w="3081" w:type="dxa"/>
            <w:shd w:val="clear" w:color="auto" w:fill="FFFFFF"/>
          </w:tcPr>
          <w:p w14:paraId="593B62B1" w14:textId="77777777" w:rsidR="000353B1" w:rsidRDefault="000353B1">
            <w:pPr>
              <w:keepNext/>
              <w:spacing w:before="240" w:after="120"/>
              <w:ind w:left="142"/>
              <w:jc w:val="left"/>
              <w:rPr>
                <w:rFonts w:ascii="Arial" w:eastAsia="Arial" w:hAnsi="Arial"/>
                <w:strike/>
                <w:sz w:val="24"/>
                <w:szCs w:val="24"/>
              </w:rPr>
            </w:pPr>
          </w:p>
        </w:tc>
      </w:tr>
      <w:tr w:rsidR="000353B1" w14:paraId="5DD6A38E" w14:textId="77777777">
        <w:tc>
          <w:tcPr>
            <w:tcW w:w="3080" w:type="dxa"/>
            <w:tcBorders>
              <w:bottom w:val="single" w:sz="4" w:space="0" w:color="000000"/>
            </w:tcBorders>
            <w:shd w:val="clear" w:color="auto" w:fill="FFFFFF"/>
          </w:tcPr>
          <w:p w14:paraId="5501AF9A"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[Key Subcontractor]</w:t>
            </w:r>
          </w:p>
        </w:tc>
        <w:tc>
          <w:tcPr>
            <w:tcW w:w="3081" w:type="dxa"/>
            <w:tcBorders>
              <w:bottom w:val="single" w:sz="4" w:space="0" w:color="000000"/>
            </w:tcBorders>
            <w:shd w:val="clear" w:color="auto" w:fill="FFFFFF"/>
          </w:tcPr>
          <w:p w14:paraId="3CBA9AEF" w14:textId="77777777" w:rsidR="000353B1" w:rsidRDefault="000353B1">
            <w:pPr>
              <w:keepNext/>
              <w:spacing w:before="240" w:after="120"/>
              <w:ind w:left="142"/>
              <w:jc w:val="left"/>
              <w:rPr>
                <w:rFonts w:ascii="Arial" w:eastAsia="Arial" w:hAnsi="Arial"/>
                <w:strike/>
                <w:sz w:val="24"/>
                <w:szCs w:val="24"/>
              </w:rPr>
            </w:pPr>
          </w:p>
        </w:tc>
      </w:tr>
    </w:tbl>
    <w:p w14:paraId="0E4D6B89" w14:textId="77777777" w:rsidR="000353B1" w:rsidRDefault="000353B1">
      <w:pPr>
        <w:spacing w:after="0"/>
        <w:rPr>
          <w:rFonts w:ascii="Arial" w:eastAsia="Arial" w:hAnsi="Arial"/>
          <w:strike/>
          <w:sz w:val="24"/>
          <w:szCs w:val="24"/>
        </w:rPr>
      </w:pPr>
    </w:p>
    <w:p w14:paraId="4B231E4B" w14:textId="77777777" w:rsidR="000353B1" w:rsidRDefault="000353B1">
      <w:pPr>
        <w:spacing w:after="0"/>
        <w:rPr>
          <w:rFonts w:ascii="Arial" w:eastAsia="Arial" w:hAnsi="Arial"/>
          <w:strike/>
          <w:sz w:val="24"/>
          <w:szCs w:val="24"/>
        </w:rPr>
      </w:pPr>
    </w:p>
    <w:p w14:paraId="1D4DED94" w14:textId="77777777" w:rsidR="000353B1" w:rsidRDefault="00B84A77">
      <w:pPr>
        <w:keepNext/>
        <w:jc w:val="left"/>
        <w:rPr>
          <w:rFonts w:ascii="Arial" w:eastAsia="Arial" w:hAnsi="Arial"/>
          <w:b/>
          <w:smallCaps/>
          <w:strike/>
          <w:sz w:val="24"/>
          <w:szCs w:val="24"/>
        </w:rPr>
      </w:pPr>
      <w:r>
        <w:rPr>
          <w:rFonts w:ascii="Arial" w:eastAsia="Arial" w:hAnsi="Arial"/>
          <w:b/>
          <w:strike/>
          <w:sz w:val="24"/>
          <w:szCs w:val="24"/>
        </w:rPr>
        <w:t>Current Rating - Lot 1b, 2b and 3b</w:t>
      </w:r>
    </w:p>
    <w:tbl>
      <w:tblPr>
        <w:tblStyle w:val="aff6"/>
        <w:tblW w:w="616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75"/>
        <w:gridCol w:w="3090"/>
      </w:tblGrid>
      <w:tr w:rsidR="000353B1" w14:paraId="4CD9830F" w14:textId="77777777">
        <w:tc>
          <w:tcPr>
            <w:tcW w:w="3075" w:type="dxa"/>
            <w:tcBorders>
              <w:top w:val="single" w:sz="4" w:space="0" w:color="000000"/>
            </w:tcBorders>
            <w:shd w:val="clear" w:color="auto" w:fill="FFFFFF"/>
          </w:tcPr>
          <w:p w14:paraId="51A0016F"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Entity</w:t>
            </w:r>
          </w:p>
        </w:tc>
        <w:tc>
          <w:tcPr>
            <w:tcW w:w="3090" w:type="dxa"/>
            <w:tcBorders>
              <w:top w:val="single" w:sz="4" w:space="0" w:color="000000"/>
            </w:tcBorders>
            <w:shd w:val="clear" w:color="auto" w:fill="FFFFFF"/>
          </w:tcPr>
          <w:p w14:paraId="0263E1C9"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Credit rating (long term)</w:t>
            </w:r>
          </w:p>
        </w:tc>
      </w:tr>
      <w:tr w:rsidR="000353B1" w14:paraId="682BB7B7" w14:textId="77777777">
        <w:tc>
          <w:tcPr>
            <w:tcW w:w="3075" w:type="dxa"/>
            <w:shd w:val="clear" w:color="auto" w:fill="FFFFFF"/>
          </w:tcPr>
          <w:p w14:paraId="4F85A247"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Supplier</w:t>
            </w:r>
          </w:p>
        </w:tc>
        <w:tc>
          <w:tcPr>
            <w:tcW w:w="3090" w:type="dxa"/>
            <w:shd w:val="clear" w:color="auto" w:fill="FFFFFF"/>
          </w:tcPr>
          <w:p w14:paraId="54AF67BE"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60</w:t>
            </w:r>
          </w:p>
        </w:tc>
      </w:tr>
      <w:tr w:rsidR="000353B1" w14:paraId="5611E85D" w14:textId="77777777">
        <w:tc>
          <w:tcPr>
            <w:tcW w:w="3075" w:type="dxa"/>
            <w:shd w:val="clear" w:color="auto" w:fill="FFFFFF"/>
          </w:tcPr>
          <w:p w14:paraId="7033E38F"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[Guarantor]</w:t>
            </w:r>
          </w:p>
        </w:tc>
        <w:tc>
          <w:tcPr>
            <w:tcW w:w="3090" w:type="dxa"/>
            <w:shd w:val="clear" w:color="auto" w:fill="FFFFFF"/>
          </w:tcPr>
          <w:p w14:paraId="11ADDD5D" w14:textId="77777777" w:rsidR="000353B1" w:rsidRDefault="000353B1">
            <w:pPr>
              <w:keepNext/>
              <w:spacing w:before="240" w:after="120"/>
              <w:ind w:left="142"/>
              <w:jc w:val="left"/>
              <w:rPr>
                <w:rFonts w:ascii="Arial" w:eastAsia="Arial" w:hAnsi="Arial"/>
                <w:strike/>
                <w:sz w:val="24"/>
                <w:szCs w:val="24"/>
              </w:rPr>
            </w:pPr>
          </w:p>
        </w:tc>
      </w:tr>
      <w:tr w:rsidR="000353B1" w14:paraId="38D3E65E" w14:textId="77777777">
        <w:tc>
          <w:tcPr>
            <w:tcW w:w="3075" w:type="dxa"/>
            <w:tcBorders>
              <w:bottom w:val="single" w:sz="4" w:space="0" w:color="000000"/>
            </w:tcBorders>
            <w:shd w:val="clear" w:color="auto" w:fill="FFFFFF"/>
          </w:tcPr>
          <w:p w14:paraId="080C1EBE"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[Key Subcontractor]</w:t>
            </w:r>
          </w:p>
        </w:tc>
        <w:tc>
          <w:tcPr>
            <w:tcW w:w="3090" w:type="dxa"/>
            <w:tcBorders>
              <w:bottom w:val="single" w:sz="4" w:space="0" w:color="000000"/>
            </w:tcBorders>
            <w:shd w:val="clear" w:color="auto" w:fill="FFFFFF"/>
          </w:tcPr>
          <w:p w14:paraId="5404022A" w14:textId="77777777" w:rsidR="000353B1" w:rsidRDefault="000353B1">
            <w:pPr>
              <w:keepNext/>
              <w:spacing w:before="240" w:after="120"/>
              <w:ind w:left="142"/>
              <w:jc w:val="left"/>
              <w:rPr>
                <w:rFonts w:ascii="Arial" w:eastAsia="Arial" w:hAnsi="Arial"/>
                <w:strike/>
                <w:sz w:val="24"/>
                <w:szCs w:val="24"/>
              </w:rPr>
            </w:pPr>
          </w:p>
        </w:tc>
      </w:tr>
    </w:tbl>
    <w:p w14:paraId="34396736" w14:textId="77777777" w:rsidR="000353B1" w:rsidRDefault="000353B1">
      <w:pPr>
        <w:spacing w:after="0"/>
        <w:rPr>
          <w:rFonts w:ascii="Arial" w:eastAsia="Arial" w:hAnsi="Arial"/>
          <w:sz w:val="24"/>
          <w:szCs w:val="24"/>
        </w:rPr>
      </w:pPr>
    </w:p>
    <w:p w14:paraId="19394BE6" w14:textId="77777777" w:rsidR="000353B1" w:rsidRDefault="000353B1">
      <w:pPr>
        <w:spacing w:after="0"/>
        <w:rPr>
          <w:rFonts w:ascii="Arial" w:eastAsia="Arial" w:hAnsi="Arial"/>
          <w:sz w:val="24"/>
          <w:szCs w:val="24"/>
        </w:rPr>
      </w:pPr>
    </w:p>
    <w:p w14:paraId="462182C2" w14:textId="77777777" w:rsidR="000353B1" w:rsidRDefault="00B84A77">
      <w:pPr>
        <w:keepNext/>
        <w:jc w:val="left"/>
        <w:rPr>
          <w:rFonts w:ascii="Arial" w:eastAsia="Arial" w:hAnsi="Arial"/>
          <w:b/>
          <w:smallCaps/>
          <w:sz w:val="24"/>
          <w:szCs w:val="24"/>
        </w:rPr>
      </w:pPr>
      <w:r>
        <w:rPr>
          <w:rFonts w:ascii="Arial" w:eastAsia="Arial" w:hAnsi="Arial"/>
          <w:b/>
          <w:sz w:val="24"/>
          <w:szCs w:val="24"/>
        </w:rPr>
        <w:t>Current Rating - Lot 1c</w:t>
      </w:r>
      <w:r>
        <w:rPr>
          <w:rFonts w:ascii="Arial" w:eastAsia="Arial" w:hAnsi="Arial"/>
          <w:b/>
          <w:strike/>
          <w:sz w:val="24"/>
          <w:szCs w:val="24"/>
        </w:rPr>
        <w:t>, 2c and 3c</w:t>
      </w:r>
    </w:p>
    <w:tbl>
      <w:tblPr>
        <w:tblStyle w:val="aff7"/>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353B1" w14:paraId="54A1F0AB" w14:textId="77777777">
        <w:tc>
          <w:tcPr>
            <w:tcW w:w="3080" w:type="dxa"/>
            <w:tcBorders>
              <w:top w:val="single" w:sz="4" w:space="0" w:color="000000"/>
            </w:tcBorders>
            <w:shd w:val="clear" w:color="auto" w:fill="FFFFFF"/>
          </w:tcPr>
          <w:p w14:paraId="0EA21BE7" w14:textId="77777777" w:rsidR="000353B1" w:rsidRDefault="00B84A77">
            <w:pPr>
              <w:keepNext/>
              <w:spacing w:before="240" w:after="120"/>
              <w:ind w:left="142"/>
              <w:jc w:val="left"/>
              <w:rPr>
                <w:rFonts w:ascii="Arial" w:eastAsia="Arial" w:hAnsi="Arial"/>
                <w:b/>
                <w:sz w:val="24"/>
                <w:szCs w:val="24"/>
              </w:rPr>
            </w:pPr>
            <w:r>
              <w:rPr>
                <w:rFonts w:ascii="Arial" w:eastAsia="Arial" w:hAnsi="Arial"/>
                <w:b/>
                <w:sz w:val="24"/>
                <w:szCs w:val="24"/>
              </w:rPr>
              <w:t>Entity</w:t>
            </w:r>
          </w:p>
        </w:tc>
        <w:tc>
          <w:tcPr>
            <w:tcW w:w="3081" w:type="dxa"/>
            <w:tcBorders>
              <w:top w:val="single" w:sz="4" w:space="0" w:color="000000"/>
            </w:tcBorders>
            <w:shd w:val="clear" w:color="auto" w:fill="FFFFFF"/>
          </w:tcPr>
          <w:p w14:paraId="7C153512" w14:textId="77777777" w:rsidR="000353B1" w:rsidRDefault="00B84A77">
            <w:pPr>
              <w:keepNext/>
              <w:spacing w:before="240" w:after="120"/>
              <w:ind w:left="142"/>
              <w:jc w:val="left"/>
              <w:rPr>
                <w:rFonts w:ascii="Arial" w:eastAsia="Arial" w:hAnsi="Arial"/>
                <w:b/>
                <w:sz w:val="24"/>
                <w:szCs w:val="24"/>
              </w:rPr>
            </w:pPr>
            <w:r>
              <w:rPr>
                <w:rFonts w:ascii="Arial" w:eastAsia="Arial" w:hAnsi="Arial"/>
                <w:b/>
                <w:sz w:val="24"/>
                <w:szCs w:val="24"/>
              </w:rPr>
              <w:t>Credit rating (long term)</w:t>
            </w:r>
          </w:p>
        </w:tc>
      </w:tr>
      <w:tr w:rsidR="000353B1" w14:paraId="26B169C8" w14:textId="77777777">
        <w:tc>
          <w:tcPr>
            <w:tcW w:w="3080" w:type="dxa"/>
            <w:shd w:val="clear" w:color="auto" w:fill="FFFFFF"/>
          </w:tcPr>
          <w:p w14:paraId="639AB725" w14:textId="77777777" w:rsidR="000353B1" w:rsidRDefault="00B84A77">
            <w:pPr>
              <w:keepNext/>
              <w:spacing w:before="240" w:after="120"/>
              <w:ind w:left="142"/>
              <w:jc w:val="left"/>
              <w:rPr>
                <w:rFonts w:ascii="Arial" w:eastAsia="Arial" w:hAnsi="Arial"/>
                <w:sz w:val="24"/>
                <w:szCs w:val="24"/>
              </w:rPr>
            </w:pPr>
            <w:r>
              <w:rPr>
                <w:rFonts w:ascii="Arial" w:eastAsia="Arial" w:hAnsi="Arial"/>
                <w:sz w:val="24"/>
                <w:szCs w:val="24"/>
              </w:rPr>
              <w:t>Supplier</w:t>
            </w:r>
          </w:p>
        </w:tc>
        <w:tc>
          <w:tcPr>
            <w:tcW w:w="3081" w:type="dxa"/>
            <w:shd w:val="clear" w:color="auto" w:fill="FFFFFF"/>
          </w:tcPr>
          <w:p w14:paraId="4170FD47" w14:textId="77777777" w:rsidR="000353B1" w:rsidRDefault="00B84A77">
            <w:pPr>
              <w:keepNext/>
              <w:spacing w:before="240" w:after="120"/>
              <w:ind w:left="142"/>
              <w:jc w:val="left"/>
              <w:rPr>
                <w:rFonts w:ascii="Arial" w:eastAsia="Arial" w:hAnsi="Arial"/>
                <w:sz w:val="24"/>
                <w:szCs w:val="24"/>
              </w:rPr>
            </w:pPr>
            <w:r>
              <w:rPr>
                <w:rFonts w:ascii="Arial" w:eastAsia="Arial" w:hAnsi="Arial"/>
                <w:sz w:val="24"/>
                <w:szCs w:val="24"/>
              </w:rPr>
              <w:t>70</w:t>
            </w:r>
          </w:p>
        </w:tc>
      </w:tr>
      <w:tr w:rsidR="000353B1" w14:paraId="69DDF55A" w14:textId="77777777">
        <w:tc>
          <w:tcPr>
            <w:tcW w:w="3080" w:type="dxa"/>
            <w:shd w:val="clear" w:color="auto" w:fill="FFFFFF"/>
          </w:tcPr>
          <w:p w14:paraId="7F33E117"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[Guarantor]</w:t>
            </w:r>
          </w:p>
        </w:tc>
        <w:tc>
          <w:tcPr>
            <w:tcW w:w="3081" w:type="dxa"/>
            <w:shd w:val="clear" w:color="auto" w:fill="FFFFFF"/>
          </w:tcPr>
          <w:p w14:paraId="044F1B7B" w14:textId="77777777" w:rsidR="000353B1" w:rsidRDefault="000353B1">
            <w:pPr>
              <w:keepNext/>
              <w:spacing w:before="240" w:after="120"/>
              <w:ind w:left="142"/>
              <w:jc w:val="left"/>
              <w:rPr>
                <w:rFonts w:ascii="Arial" w:eastAsia="Arial" w:hAnsi="Arial"/>
                <w:strike/>
                <w:sz w:val="24"/>
                <w:szCs w:val="24"/>
              </w:rPr>
            </w:pPr>
          </w:p>
        </w:tc>
      </w:tr>
      <w:tr w:rsidR="000353B1" w14:paraId="356784C2" w14:textId="77777777">
        <w:tc>
          <w:tcPr>
            <w:tcW w:w="3080" w:type="dxa"/>
            <w:tcBorders>
              <w:bottom w:val="single" w:sz="4" w:space="0" w:color="000000"/>
            </w:tcBorders>
            <w:shd w:val="clear" w:color="auto" w:fill="FFFFFF"/>
          </w:tcPr>
          <w:p w14:paraId="031A7C54" w14:textId="77777777" w:rsidR="000353B1" w:rsidRDefault="00B84A77">
            <w:pPr>
              <w:keepNext/>
              <w:spacing w:before="240" w:after="120"/>
              <w:ind w:left="142"/>
              <w:jc w:val="left"/>
              <w:rPr>
                <w:rFonts w:ascii="Arial" w:eastAsia="Arial" w:hAnsi="Arial"/>
                <w:sz w:val="24"/>
                <w:szCs w:val="24"/>
                <w:highlight w:val="yellow"/>
              </w:rPr>
            </w:pPr>
            <w:r>
              <w:rPr>
                <w:rFonts w:ascii="Arial" w:eastAsia="Arial" w:hAnsi="Arial"/>
                <w:sz w:val="24"/>
                <w:szCs w:val="24"/>
              </w:rPr>
              <w:t>Key Subcontractor</w:t>
            </w:r>
          </w:p>
        </w:tc>
        <w:tc>
          <w:tcPr>
            <w:tcW w:w="3081" w:type="dxa"/>
            <w:tcBorders>
              <w:bottom w:val="single" w:sz="4" w:space="0" w:color="000000"/>
            </w:tcBorders>
            <w:shd w:val="clear" w:color="auto" w:fill="FFFFFF"/>
          </w:tcPr>
          <w:p w14:paraId="2A2054F2" w14:textId="77777777" w:rsidR="000353B1" w:rsidRDefault="00B84A77">
            <w:pPr>
              <w:keepNext/>
              <w:spacing w:before="240" w:after="120"/>
              <w:ind w:left="142"/>
              <w:jc w:val="left"/>
              <w:rPr>
                <w:rFonts w:ascii="Arial" w:eastAsia="Arial" w:hAnsi="Arial"/>
                <w:sz w:val="24"/>
                <w:szCs w:val="24"/>
              </w:rPr>
            </w:pPr>
            <w:r>
              <w:rPr>
                <w:rFonts w:ascii="Arial" w:eastAsia="Arial" w:hAnsi="Arial"/>
                <w:sz w:val="24"/>
                <w:szCs w:val="24"/>
              </w:rPr>
              <w:t>70</w:t>
            </w:r>
          </w:p>
        </w:tc>
      </w:tr>
    </w:tbl>
    <w:p w14:paraId="5F5CE3D6" w14:textId="77777777" w:rsidR="000353B1" w:rsidRDefault="000353B1">
      <w:pPr>
        <w:spacing w:after="0"/>
        <w:rPr>
          <w:rFonts w:ascii="Arial" w:eastAsia="Arial" w:hAnsi="Arial"/>
          <w:sz w:val="24"/>
          <w:szCs w:val="24"/>
        </w:rPr>
      </w:pPr>
    </w:p>
    <w:p w14:paraId="099D6F06" w14:textId="77777777" w:rsidR="000353B1" w:rsidRDefault="000353B1">
      <w:pPr>
        <w:pBdr>
          <w:top w:val="nil"/>
          <w:left w:val="nil"/>
          <w:bottom w:val="nil"/>
          <w:right w:val="nil"/>
          <w:between w:val="nil"/>
        </w:pBdr>
        <w:spacing w:before="100" w:after="300"/>
        <w:rPr>
          <w:rFonts w:ascii="Arial" w:eastAsia="Arial" w:hAnsi="Arial"/>
          <w:b/>
          <w:smallCaps/>
          <w:sz w:val="24"/>
          <w:szCs w:val="24"/>
        </w:rPr>
      </w:pPr>
      <w:bookmarkStart w:id="4" w:name="_heading=h.vh1ltlu5a5b" w:colFirst="0" w:colLast="0"/>
      <w:bookmarkEnd w:id="4"/>
    </w:p>
    <w:p w14:paraId="77B8EA54"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bookmarkStart w:id="5" w:name="_heading=h.3znysh7" w:colFirst="0" w:colLast="0"/>
      <w:bookmarkEnd w:id="5"/>
      <w:r>
        <w:rPr>
          <w:rFonts w:ascii="Arial" w:eastAsia="Arial" w:hAnsi="Arial"/>
          <w:b/>
          <w:color w:val="000000"/>
          <w:sz w:val="24"/>
          <w:szCs w:val="24"/>
        </w:rPr>
        <w:t>Annex 3: Calculation methodology for Financial Indicators</w:t>
      </w:r>
    </w:p>
    <w:p w14:paraId="0C029EB7"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The Supplier shall ensure that it uses the following general and specific methodologies for calculating the Financial Indicators against the Financial Target Thresholds:</w:t>
      </w:r>
    </w:p>
    <w:p w14:paraId="5B8F923E"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14:paraId="2DEA4478"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F51714F"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bookmarkStart w:id="6" w:name="_heading=h.2et92p0" w:colFirst="0" w:colLast="0"/>
      <w:bookmarkEnd w:id="6"/>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14:paraId="4274A2A4"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14:paraId="0F90373C"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14:paraId="2AA3C17B" w14:textId="77777777" w:rsidR="000353B1" w:rsidRDefault="00B84A77">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ff8"/>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0353B1" w14:paraId="7504F259" w14:textId="77777777">
        <w:tc>
          <w:tcPr>
            <w:tcW w:w="2538" w:type="dxa"/>
            <w:shd w:val="clear" w:color="auto" w:fill="D9D9D9"/>
          </w:tcPr>
          <w:p w14:paraId="67424680"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14:paraId="74978CE4"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0353B1" w14:paraId="2F63FB74" w14:textId="77777777">
        <w:trPr>
          <w:trHeight w:val="4875"/>
        </w:trPr>
        <w:tc>
          <w:tcPr>
            <w:tcW w:w="2538" w:type="dxa"/>
            <w:vAlign w:val="center"/>
          </w:tcPr>
          <w:p w14:paraId="59D23359"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7008B046"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14:paraId="185F708F"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14:paraId="206DCCA2"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p w14:paraId="2F501C8C"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0353B1" w14:paraId="28EF6289" w14:textId="77777777">
        <w:tc>
          <w:tcPr>
            <w:tcW w:w="2538" w:type="dxa"/>
          </w:tcPr>
          <w:p w14:paraId="29B26DC1"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3D294C12"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14:paraId="745828E6"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75260200"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E27C358"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667DDEDC"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5DB7A3D"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FED213E"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721325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F96411A"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24C4D13"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435A872"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98BEF64"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86B77DD"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DE23D64"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B59F294"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4BBFC06"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AC0270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18A52D6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13CA97D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E2EDB88"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6A8C97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446E5DA"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EECB86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1A6C44CE"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6985B7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DF8D843"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E8D76DB"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4157459"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61D2411"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14:paraId="66FD80AE"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14:paraId="263E919E"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14:paraId="49651E4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14:paraId="47479FB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21C767CE"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proofErr w:type="gramStart"/>
            <w:r>
              <w:rPr>
                <w:rFonts w:ascii="Arial" w:eastAsia="Arial" w:hAnsi="Arial"/>
                <w:color w:val="000000"/>
                <w:sz w:val="24"/>
                <w:szCs w:val="24"/>
              </w:rPr>
              <w:t>The majority of</w:t>
            </w:r>
            <w:proofErr w:type="gramEnd"/>
            <w:r>
              <w:rPr>
                <w:rFonts w:ascii="Arial" w:eastAsia="Arial" w:hAnsi="Arial"/>
                <w:color w:val="000000"/>
                <w:sz w:val="24"/>
                <w:szCs w:val="24"/>
              </w:rPr>
              <w:t xml:space="preserve"> the elements used to calculate the Free Cash Flow to Net Debt Ratio should be shown on the face of the Statement of Cash Flows and the Balance Sheet in a standard set of financial statements.</w:t>
            </w:r>
          </w:p>
          <w:p w14:paraId="79E61D61"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 from Operating Activities</w:t>
            </w:r>
            <w:r>
              <w:rPr>
                <w:rFonts w:ascii="Arial" w:eastAsia="Arial" w:hAnsi="Arial"/>
                <w:color w:val="000000"/>
                <w:sz w:val="24"/>
                <w:szCs w:val="24"/>
              </w:rPr>
              <w:t>: This should be stated after deduction of interest and tax paid.</w:t>
            </w:r>
          </w:p>
          <w:p w14:paraId="0C020063"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43D58A0A"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also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treated as borrowings as should, where disclosed, any liabilities (less any assets) in </w:t>
            </w:r>
            <w:proofErr w:type="gramStart"/>
            <w:r>
              <w:rPr>
                <w:rFonts w:ascii="Arial" w:eastAsia="Arial" w:hAnsi="Arial"/>
                <w:color w:val="000000"/>
                <w:sz w:val="24"/>
                <w:szCs w:val="24"/>
              </w:rPr>
              <w:t>respect  of</w:t>
            </w:r>
            <w:proofErr w:type="gramEnd"/>
            <w:r>
              <w:rPr>
                <w:rFonts w:ascii="Arial" w:eastAsia="Arial" w:hAnsi="Arial"/>
                <w:color w:val="000000"/>
                <w:sz w:val="24"/>
                <w:szCs w:val="24"/>
              </w:rPr>
              <w:t xml:space="preserve"> any hedges designated as linked to borrowings (but not non-designated hedges). Borrowings should also include balances owed to other group members.</w:t>
            </w:r>
          </w:p>
          <w:p w14:paraId="721D84AF"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717832B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2B3EB481"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14:paraId="1F9F95DA"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14:paraId="48448FA1"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0946FF9D"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03C8E1A3"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proofErr w:type="gramStart"/>
            <w:r>
              <w:rPr>
                <w:rFonts w:ascii="Arial" w:eastAsia="Arial" w:hAnsi="Arial"/>
                <w:color w:val="000000"/>
                <w:sz w:val="24"/>
                <w:szCs w:val="24"/>
              </w:rPr>
              <w:t>The majority of</w:t>
            </w:r>
            <w:proofErr w:type="gramEnd"/>
            <w:r>
              <w:rPr>
                <w:rFonts w:ascii="Arial" w:eastAsia="Arial" w:hAnsi="Arial"/>
                <w:color w:val="000000"/>
                <w:sz w:val="24"/>
                <w:szCs w:val="24"/>
              </w:rPr>
              <w:t xml:space="preserve"> the elements used to calculate the Net Debt to EBITDA Ratio should be shown on the face of the </w:t>
            </w:r>
            <w:r>
              <w:rPr>
                <w:rFonts w:ascii="Arial" w:eastAsia="Arial" w:hAnsi="Arial"/>
                <w:color w:val="000000"/>
                <w:sz w:val="24"/>
                <w:szCs w:val="24"/>
              </w:rPr>
              <w:lastRenderedPageBreak/>
              <w:t>Balance sheet, Income statement and Statement of Cash Flows in a standard set of financial statements but will otherwise be found in the notes to the financial statements.</w:t>
            </w:r>
          </w:p>
          <w:p w14:paraId="4C84D526"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1EF1EFB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42862250"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2EDF20F1"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Financial Target Threshold should be treated as having been met. </w:t>
            </w:r>
          </w:p>
          <w:p w14:paraId="40FF9B23"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bookmarkStart w:id="7" w:name="_heading=h.tyjcwt" w:colFirst="0" w:colLast="0"/>
            <w:bookmarkEnd w:id="7"/>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0353B1" w14:paraId="111354DC" w14:textId="77777777">
        <w:tc>
          <w:tcPr>
            <w:tcW w:w="2538" w:type="dxa"/>
          </w:tcPr>
          <w:p w14:paraId="02A3ECED"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14:paraId="65C4FAB1"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 xml:space="preserve">Net Debt + </w:t>
            </w:r>
            <w:proofErr w:type="gramStart"/>
            <w:r>
              <w:rPr>
                <w:rFonts w:ascii="Arial" w:eastAsia="Arial" w:hAnsi="Arial"/>
                <w:b/>
                <w:color w:val="000000"/>
                <w:sz w:val="24"/>
                <w:szCs w:val="24"/>
              </w:rPr>
              <w:t>Net  Pension</w:t>
            </w:r>
            <w:proofErr w:type="gramEnd"/>
            <w:r>
              <w:rPr>
                <w:rFonts w:ascii="Arial" w:eastAsia="Arial" w:hAnsi="Arial"/>
                <w:b/>
                <w:color w:val="000000"/>
                <w:sz w:val="24"/>
                <w:szCs w:val="24"/>
              </w:rPr>
              <w:t xml:space="preserve"> Deficit to EBITDA ratio</w:t>
            </w:r>
          </w:p>
        </w:tc>
        <w:tc>
          <w:tcPr>
            <w:tcW w:w="6478" w:type="dxa"/>
          </w:tcPr>
          <w:p w14:paraId="50D233CA"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2B19B4E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14:paraId="143E110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2C203733"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proofErr w:type="gramStart"/>
            <w:r>
              <w:rPr>
                <w:rFonts w:ascii="Arial" w:eastAsia="Arial" w:hAnsi="Arial"/>
                <w:color w:val="000000"/>
                <w:sz w:val="24"/>
                <w:szCs w:val="24"/>
              </w:rPr>
              <w:t>The majority of</w:t>
            </w:r>
            <w:proofErr w:type="gramEnd"/>
            <w:r>
              <w:rPr>
                <w:rFonts w:ascii="Arial" w:eastAsia="Arial" w:hAnsi="Arial"/>
                <w:color w:val="000000"/>
                <w:sz w:val="24"/>
                <w:szCs w:val="24"/>
              </w:rPr>
              <w:t xml:space="preserve"> the elements used to calculate the Net Debt + Net Pension Deficit to EBITDA Ratio should be shown on the face of the Balance sheet, Income statement and Statement of Cash Flows in a standard set of financial </w:t>
            </w:r>
            <w:r>
              <w:rPr>
                <w:rFonts w:ascii="Arial" w:eastAsia="Arial" w:hAnsi="Arial"/>
                <w:color w:val="000000"/>
                <w:sz w:val="24"/>
                <w:szCs w:val="24"/>
              </w:rPr>
              <w:lastRenderedPageBreak/>
              <w:t>statements but will otherwise be found in the notes to the financial statements.</w:t>
            </w:r>
          </w:p>
          <w:p w14:paraId="6AF26A74"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14:paraId="70EAD68E"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7C35ED82"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3BE5920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712015D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14:paraId="76F2F09C"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6105754D"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bookmarkStart w:id="8" w:name="_heading=h.3dy6vkm" w:colFirst="0" w:colLast="0"/>
            <w:bookmarkEnd w:id="8"/>
            <w:r>
              <w:rPr>
                <w:rFonts w:ascii="Arial" w:eastAsia="Arial" w:hAnsi="Arial"/>
                <w:color w:val="000000"/>
                <w:sz w:val="24"/>
                <w:szCs w:val="24"/>
              </w:rPr>
              <w:t xml:space="preserve">The depreciation and amortisation charges for the period may be found on the face of the Statement of Cash Flows or in a Note to the Accounts. </w:t>
            </w:r>
          </w:p>
          <w:p w14:paraId="2971E2B7"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0353B1" w14:paraId="5F7C30ED" w14:textId="77777777">
        <w:tc>
          <w:tcPr>
            <w:tcW w:w="2538" w:type="dxa"/>
            <w:vAlign w:val="center"/>
          </w:tcPr>
          <w:p w14:paraId="2DAB2F40"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14:paraId="1B406DFD"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14:paraId="11C83E2E"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14:paraId="4A063830"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14:paraId="6BA65C3B"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Operating profit should be shown on the face of the Income Statement in a standard set of financial statements </w:t>
            </w:r>
            <w:r>
              <w:rPr>
                <w:rFonts w:ascii="Arial" w:eastAsia="Arial" w:hAnsi="Arial"/>
                <w:color w:val="000000"/>
                <w:sz w:val="24"/>
                <w:szCs w:val="24"/>
              </w:rPr>
              <w:lastRenderedPageBreak/>
              <w:t>and, for the purposes of calculating this Financial Indicator, should include the entity’s share of the results of any joint ventures or Associates.</w:t>
            </w:r>
          </w:p>
          <w:p w14:paraId="682D389F"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14:paraId="29E208E6"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0353B1" w14:paraId="79F7BC75" w14:textId="77777777">
        <w:tc>
          <w:tcPr>
            <w:tcW w:w="2538" w:type="dxa"/>
            <w:vAlign w:val="center"/>
          </w:tcPr>
          <w:p w14:paraId="3A6DD7FA"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14:paraId="23037088"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14:paraId="5600DBA9"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0353B1" w14:paraId="27FA0FAE" w14:textId="77777777">
        <w:tc>
          <w:tcPr>
            <w:tcW w:w="2538" w:type="dxa"/>
            <w:vAlign w:val="center"/>
          </w:tcPr>
          <w:p w14:paraId="3005BB15" w14:textId="77777777" w:rsidR="000353B1" w:rsidRDefault="00B84A77">
            <w:pPr>
              <w:pBdr>
                <w:top w:val="nil"/>
                <w:left w:val="nil"/>
                <w:bottom w:val="nil"/>
                <w:right w:val="nil"/>
                <w:between w:val="nil"/>
              </w:pBdr>
              <w:spacing w:before="100" w:after="200"/>
              <w:jc w:val="left"/>
              <w:rPr>
                <w:rFonts w:ascii="Arial" w:eastAsia="Arial" w:hAnsi="Arial"/>
                <w:b/>
                <w:strike/>
                <w:color w:val="000000"/>
                <w:sz w:val="24"/>
                <w:szCs w:val="24"/>
              </w:rPr>
            </w:pPr>
            <w:r>
              <w:rPr>
                <w:rFonts w:ascii="Arial" w:eastAsia="Arial" w:hAnsi="Arial"/>
                <w:b/>
                <w:strike/>
                <w:color w:val="000000"/>
                <w:sz w:val="24"/>
                <w:szCs w:val="24"/>
              </w:rPr>
              <w:t>6</w:t>
            </w:r>
          </w:p>
          <w:p w14:paraId="66E6E1BA" w14:textId="77777777" w:rsidR="000353B1" w:rsidRDefault="00B84A77">
            <w:pPr>
              <w:pBdr>
                <w:top w:val="nil"/>
                <w:left w:val="nil"/>
                <w:bottom w:val="nil"/>
                <w:right w:val="nil"/>
                <w:between w:val="nil"/>
              </w:pBdr>
              <w:spacing w:before="100" w:after="200"/>
              <w:jc w:val="left"/>
              <w:rPr>
                <w:rFonts w:ascii="Arial" w:eastAsia="Arial" w:hAnsi="Arial"/>
                <w:b/>
                <w:strike/>
                <w:color w:val="000000"/>
                <w:sz w:val="24"/>
                <w:szCs w:val="24"/>
              </w:rPr>
            </w:pPr>
            <w:r>
              <w:rPr>
                <w:rFonts w:ascii="Arial" w:eastAsia="Arial" w:hAnsi="Arial"/>
                <w:b/>
                <w:strike/>
                <w:color w:val="000000"/>
                <w:sz w:val="24"/>
                <w:szCs w:val="24"/>
              </w:rPr>
              <w:t>[Net Asset value]</w:t>
            </w:r>
          </w:p>
        </w:tc>
        <w:tc>
          <w:tcPr>
            <w:tcW w:w="6478" w:type="dxa"/>
          </w:tcPr>
          <w:p w14:paraId="426E9940"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strike/>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0353B1" w14:paraId="07F432C3" w14:textId="77777777">
        <w:tc>
          <w:tcPr>
            <w:tcW w:w="2538" w:type="dxa"/>
            <w:vAlign w:val="center"/>
          </w:tcPr>
          <w:p w14:paraId="3F386179" w14:textId="77777777" w:rsidR="000353B1" w:rsidRDefault="00B84A77">
            <w:pPr>
              <w:pBdr>
                <w:top w:val="nil"/>
                <w:left w:val="nil"/>
                <w:bottom w:val="nil"/>
                <w:right w:val="nil"/>
                <w:between w:val="nil"/>
              </w:pBdr>
              <w:spacing w:before="100" w:after="200"/>
              <w:jc w:val="left"/>
              <w:rPr>
                <w:rFonts w:ascii="Arial" w:eastAsia="Arial" w:hAnsi="Arial"/>
                <w:b/>
                <w:strike/>
                <w:color w:val="000000"/>
                <w:sz w:val="24"/>
                <w:szCs w:val="24"/>
              </w:rPr>
            </w:pPr>
            <w:r>
              <w:rPr>
                <w:rFonts w:ascii="Arial" w:eastAsia="Arial" w:hAnsi="Arial"/>
                <w:b/>
                <w:strike/>
                <w:color w:val="000000"/>
                <w:sz w:val="24"/>
                <w:szCs w:val="24"/>
              </w:rPr>
              <w:t>7</w:t>
            </w:r>
          </w:p>
          <w:p w14:paraId="710041EF" w14:textId="77777777" w:rsidR="000353B1" w:rsidRDefault="00B84A77">
            <w:pPr>
              <w:pBdr>
                <w:top w:val="nil"/>
                <w:left w:val="nil"/>
                <w:bottom w:val="nil"/>
                <w:right w:val="nil"/>
                <w:between w:val="nil"/>
              </w:pBdr>
              <w:spacing w:before="100" w:after="200"/>
              <w:jc w:val="left"/>
              <w:rPr>
                <w:rFonts w:ascii="Arial" w:eastAsia="Arial" w:hAnsi="Arial"/>
                <w:b/>
                <w:strike/>
                <w:color w:val="000000"/>
                <w:sz w:val="24"/>
                <w:szCs w:val="24"/>
              </w:rPr>
            </w:pPr>
            <w:r>
              <w:rPr>
                <w:rFonts w:ascii="Arial" w:eastAsia="Arial" w:hAnsi="Arial"/>
                <w:b/>
                <w:strike/>
                <w:color w:val="000000"/>
                <w:sz w:val="24"/>
                <w:szCs w:val="24"/>
              </w:rPr>
              <w:t>[Group Exposure Ratio]</w:t>
            </w:r>
          </w:p>
        </w:tc>
        <w:tc>
          <w:tcPr>
            <w:tcW w:w="6478" w:type="dxa"/>
          </w:tcPr>
          <w:p w14:paraId="31EE6C01" w14:textId="77777777" w:rsidR="000353B1" w:rsidRDefault="00B84A77">
            <w:pPr>
              <w:pBdr>
                <w:top w:val="nil"/>
                <w:left w:val="nil"/>
                <w:bottom w:val="nil"/>
                <w:right w:val="nil"/>
                <w:between w:val="nil"/>
              </w:pBdr>
              <w:spacing w:before="100" w:after="200"/>
              <w:jc w:val="left"/>
              <w:rPr>
                <w:rFonts w:ascii="Arial" w:eastAsia="Arial" w:hAnsi="Arial"/>
                <w:i/>
                <w:strike/>
                <w:color w:val="000000"/>
                <w:sz w:val="24"/>
                <w:szCs w:val="24"/>
              </w:rPr>
            </w:pPr>
            <w:r>
              <w:rPr>
                <w:rFonts w:ascii="Arial" w:eastAsia="Arial" w:hAnsi="Arial"/>
                <w:i/>
                <w:strike/>
                <w:color w:val="000000"/>
                <w:sz w:val="24"/>
                <w:szCs w:val="24"/>
              </w:rPr>
              <w:t>[“</w:t>
            </w:r>
            <w:r>
              <w:rPr>
                <w:rFonts w:ascii="Arial" w:eastAsia="Arial" w:hAnsi="Arial"/>
                <w:b/>
                <w:i/>
                <w:strike/>
                <w:color w:val="000000"/>
                <w:sz w:val="24"/>
                <w:szCs w:val="24"/>
              </w:rPr>
              <w:t>Group Exposure</w:t>
            </w:r>
            <w:r>
              <w:rPr>
                <w:rFonts w:ascii="Arial" w:eastAsia="Arial" w:hAnsi="Arial"/>
                <w:i/>
                <w:strike/>
                <w:color w:val="000000"/>
                <w:sz w:val="24"/>
                <w:szCs w:val="24"/>
              </w:rPr>
              <w:t>” = Balances owed by Group Undertakings + Contingent liabilities assumed in support of Group Undertakings</w:t>
            </w:r>
          </w:p>
          <w:p w14:paraId="22B237B5" w14:textId="77777777" w:rsidR="000353B1" w:rsidRDefault="00B84A77">
            <w:pPr>
              <w:pBdr>
                <w:top w:val="nil"/>
                <w:left w:val="nil"/>
                <w:bottom w:val="nil"/>
                <w:right w:val="nil"/>
                <w:between w:val="nil"/>
              </w:pBdr>
              <w:spacing w:before="100" w:after="200"/>
              <w:jc w:val="left"/>
              <w:rPr>
                <w:rFonts w:ascii="Arial" w:eastAsia="Arial" w:hAnsi="Arial"/>
                <w:i/>
                <w:strike/>
                <w:color w:val="000000"/>
                <w:sz w:val="24"/>
                <w:szCs w:val="24"/>
              </w:rPr>
            </w:pPr>
            <w:r>
              <w:rPr>
                <w:rFonts w:ascii="Arial" w:eastAsia="Arial" w:hAnsi="Arial"/>
                <w:i/>
                <w:strike/>
                <w:color w:val="000000"/>
                <w:sz w:val="24"/>
                <w:szCs w:val="24"/>
              </w:rPr>
              <w:t>“</w:t>
            </w:r>
            <w:r>
              <w:rPr>
                <w:rFonts w:ascii="Arial" w:eastAsia="Arial" w:hAnsi="Arial"/>
                <w:b/>
                <w:i/>
                <w:strike/>
                <w:color w:val="000000"/>
                <w:sz w:val="24"/>
                <w:szCs w:val="24"/>
              </w:rPr>
              <w:t>Gross Assets</w:t>
            </w:r>
            <w:r>
              <w:rPr>
                <w:rFonts w:ascii="Arial" w:eastAsia="Arial" w:hAnsi="Arial"/>
                <w:i/>
                <w:strike/>
                <w:color w:val="000000"/>
                <w:sz w:val="24"/>
                <w:szCs w:val="24"/>
              </w:rPr>
              <w:t>” = Fixed Assets + Current Assets</w:t>
            </w:r>
          </w:p>
          <w:p w14:paraId="2A0FF053"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i/>
                <w:strike/>
                <w:color w:val="000000"/>
                <w:sz w:val="24"/>
                <w:szCs w:val="24"/>
                <w:u w:val="single"/>
              </w:rPr>
              <w:t>Group Exposure</w:t>
            </w:r>
            <w:r>
              <w:rPr>
                <w:rFonts w:ascii="Arial" w:eastAsia="Arial" w:hAnsi="Arial"/>
                <w:strike/>
                <w:color w:val="000000"/>
                <w:sz w:val="24"/>
                <w:szCs w:val="24"/>
              </w:rPr>
              <w:t>:  Balances owed by (</w:t>
            </w:r>
            <w:proofErr w:type="spellStart"/>
            <w:r>
              <w:rPr>
                <w:rFonts w:ascii="Arial" w:eastAsia="Arial" w:hAnsi="Arial"/>
                <w:strike/>
                <w:color w:val="000000"/>
                <w:sz w:val="24"/>
                <w:szCs w:val="24"/>
              </w:rPr>
              <w:t>ie</w:t>
            </w:r>
            <w:proofErr w:type="spellEnd"/>
            <w:r>
              <w:rPr>
                <w:rFonts w:ascii="Arial" w:eastAsia="Arial" w:hAnsi="Arial"/>
                <w:strike/>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w:t>
            </w:r>
            <w:proofErr w:type="gramStart"/>
            <w:r>
              <w:rPr>
                <w:rFonts w:ascii="Arial" w:eastAsia="Arial" w:hAnsi="Arial"/>
                <w:strike/>
                <w:color w:val="000000"/>
                <w:sz w:val="24"/>
                <w:szCs w:val="24"/>
              </w:rPr>
              <w:t>in particular where</w:t>
            </w:r>
            <w:proofErr w:type="gramEnd"/>
            <w:r>
              <w:rPr>
                <w:rFonts w:ascii="Arial" w:eastAsia="Arial" w:hAnsi="Arial"/>
                <w:strike/>
                <w:color w:val="000000"/>
                <w:sz w:val="24"/>
                <w:szCs w:val="24"/>
              </w:rPr>
              <w:t xml:space="preserve"> an entity is not a member of a group or is itself the ultimate holding company of the group.</w:t>
            </w:r>
          </w:p>
          <w:p w14:paraId="40836443"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strike/>
                <w:color w:val="000000"/>
                <w:sz w:val="24"/>
                <w:szCs w:val="24"/>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w:t>
            </w:r>
            <w:r>
              <w:rPr>
                <w:rFonts w:ascii="Arial" w:eastAsia="Arial" w:hAnsi="Arial"/>
                <w:strike/>
                <w:color w:val="000000"/>
                <w:sz w:val="24"/>
                <w:szCs w:val="24"/>
              </w:rPr>
              <w:lastRenderedPageBreak/>
              <w:t>Financial Target Threshold should automatically be regarded as not having been met.</w:t>
            </w:r>
          </w:p>
          <w:p w14:paraId="0BAA3C74"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strike/>
                <w:color w:val="000000"/>
                <w:sz w:val="24"/>
                <w:szCs w:val="24"/>
              </w:rPr>
              <w:t xml:space="preserve">In many cases an entity may not have assumed any contingent liabilities in support of Group Undertakings, </w:t>
            </w:r>
            <w:proofErr w:type="gramStart"/>
            <w:r>
              <w:rPr>
                <w:rFonts w:ascii="Arial" w:eastAsia="Arial" w:hAnsi="Arial"/>
                <w:strike/>
                <w:color w:val="000000"/>
                <w:sz w:val="24"/>
                <w:szCs w:val="24"/>
              </w:rPr>
              <w:t>in particular where</w:t>
            </w:r>
            <w:proofErr w:type="gramEnd"/>
            <w:r>
              <w:rPr>
                <w:rFonts w:ascii="Arial" w:eastAsia="Arial" w:hAnsi="Arial"/>
                <w:strike/>
                <w:color w:val="000000"/>
                <w:sz w:val="24"/>
                <w:szCs w:val="24"/>
              </w:rPr>
              <w:t xml:space="preserve"> an entity is not a member of a group or is itself the ultimate holding company of the group.</w:t>
            </w:r>
          </w:p>
          <w:p w14:paraId="1CDDE704"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i/>
                <w:strike/>
                <w:color w:val="000000"/>
                <w:sz w:val="24"/>
                <w:szCs w:val="24"/>
                <w:u w:val="single"/>
              </w:rPr>
              <w:t>Gross Assets</w:t>
            </w:r>
            <w:r>
              <w:rPr>
                <w:rFonts w:ascii="Arial" w:eastAsia="Arial" w:hAnsi="Arial"/>
                <w:strike/>
                <w:color w:val="000000"/>
                <w:sz w:val="24"/>
                <w:szCs w:val="24"/>
              </w:rPr>
              <w:t>: Both Fixed assets and Current assets are shown on the face of the Balance Sheet]</w:t>
            </w:r>
          </w:p>
        </w:tc>
      </w:tr>
    </w:tbl>
    <w:p w14:paraId="3E4C200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976A24A" w14:textId="77777777" w:rsidR="000353B1" w:rsidRDefault="00B84A77">
      <w:pPr>
        <w:spacing w:after="200" w:line="276" w:lineRule="auto"/>
        <w:jc w:val="left"/>
        <w:rPr>
          <w:rFonts w:ascii="Arial" w:eastAsia="Arial" w:hAnsi="Arial"/>
          <w:sz w:val="24"/>
          <w:szCs w:val="24"/>
        </w:rPr>
      </w:pPr>
      <w:r>
        <w:br w:type="page"/>
      </w:r>
    </w:p>
    <w:p w14:paraId="273CA542" w14:textId="77777777" w:rsidR="000353B1" w:rsidRDefault="00B84A77">
      <w:pPr>
        <w:pBdr>
          <w:top w:val="nil"/>
          <w:left w:val="nil"/>
          <w:bottom w:val="nil"/>
          <w:right w:val="nil"/>
          <w:between w:val="nil"/>
        </w:pBdr>
        <w:spacing w:before="100" w:after="300"/>
        <w:jc w:val="left"/>
        <w:rPr>
          <w:rFonts w:ascii="Arial" w:eastAsia="Arial" w:hAnsi="Arial"/>
          <w:b/>
          <w:smallCaps/>
          <w:color w:val="000000"/>
          <w:sz w:val="24"/>
          <w:szCs w:val="24"/>
        </w:rPr>
      </w:pPr>
      <w:bookmarkStart w:id="9" w:name="_heading=h.1t3h5sf" w:colFirst="0" w:colLast="0"/>
      <w:bookmarkEnd w:id="9"/>
      <w:r>
        <w:rPr>
          <w:rFonts w:ascii="Arial" w:eastAsia="Arial" w:hAnsi="Arial"/>
          <w:b/>
          <w:smallCaps/>
          <w:color w:val="000000"/>
          <w:sz w:val="24"/>
          <w:szCs w:val="24"/>
        </w:rPr>
        <w:lastRenderedPageBreak/>
        <w:t>Annex 4: Board Confirmation</w:t>
      </w:r>
    </w:p>
    <w:p w14:paraId="5C9CAD8A"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1BA7BCD"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14:paraId="6A2C13D4"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14:paraId="38019A3D"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086E80F" w14:textId="77777777" w:rsidR="000353B1" w:rsidRDefault="00B84A77">
      <w:pPr>
        <w:pBdr>
          <w:top w:val="nil"/>
          <w:left w:val="nil"/>
          <w:bottom w:val="nil"/>
          <w:right w:val="nil"/>
          <w:between w:val="nil"/>
        </w:pBdr>
        <w:spacing w:before="100" w:after="200"/>
        <w:ind w:left="720"/>
        <w:jc w:val="left"/>
        <w:rPr>
          <w:rFonts w:ascii="Arial" w:eastAsia="Arial" w:hAnsi="Arial"/>
          <w:color w:val="000000"/>
          <w:sz w:val="24"/>
          <w:szCs w:val="24"/>
        </w:rPr>
      </w:pPr>
      <w:bookmarkStart w:id="10" w:name="_heading=h.4d34og8" w:colFirst="0" w:colLast="0"/>
      <w:bookmarkEnd w:id="10"/>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42814F61" w14:textId="77777777" w:rsidR="000353B1" w:rsidRDefault="00B84A77">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14:paraId="75CF2476" w14:textId="77777777" w:rsidR="000353B1" w:rsidRDefault="00B84A77">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14:paraId="26B6B61C" w14:textId="77777777" w:rsidR="000353B1" w:rsidRDefault="00B84A77">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14:paraId="4A7511BC"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83630AB" w14:textId="77777777" w:rsidR="000353B1" w:rsidRDefault="00B84A77">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14:paraId="21F5BBA8"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6B2CE3F6"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14:paraId="34323C98"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064B602D"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14B5405E"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8731B76"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14:paraId="42F13204"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3A18AD7A"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5FC3FBFB"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634F28D0" w14:textId="02F8CAF6" w:rsidR="000353B1" w:rsidRDefault="000353B1">
      <w:pPr>
        <w:spacing w:after="200" w:line="276" w:lineRule="auto"/>
        <w:jc w:val="left"/>
        <w:rPr>
          <w:rFonts w:ascii="Arial" w:eastAsia="Arial" w:hAnsi="Arial"/>
          <w:sz w:val="24"/>
          <w:szCs w:val="24"/>
        </w:rPr>
      </w:pPr>
    </w:p>
    <w:sectPr w:rsidR="000353B1">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D23A0" w14:textId="77777777" w:rsidR="00807CC6" w:rsidRDefault="00807CC6">
      <w:pPr>
        <w:spacing w:after="0"/>
      </w:pPr>
      <w:r>
        <w:separator/>
      </w:r>
    </w:p>
  </w:endnote>
  <w:endnote w:type="continuationSeparator" w:id="0">
    <w:p w14:paraId="2C0FA66C" w14:textId="77777777" w:rsidR="00807CC6" w:rsidRDefault="00807C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5C5FD" w14:textId="77777777" w:rsidR="000353B1" w:rsidRDefault="00B84A77">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r>
      <w:rPr>
        <w:rFonts w:ascii="Arial" w:eastAsia="Arial" w:hAnsi="Arial"/>
        <w:sz w:val="20"/>
        <w:szCs w:val="20"/>
      </w:rPr>
      <w:tab/>
      <w:t xml:space="preserve">                                           </w:t>
    </w:r>
  </w:p>
  <w:p w14:paraId="1F595401" w14:textId="77777777" w:rsidR="000353B1" w:rsidRDefault="00B84A77">
    <w:pPr>
      <w:pBdr>
        <w:top w:val="nil"/>
        <w:left w:val="nil"/>
        <w:bottom w:val="nil"/>
        <w:right w:val="nil"/>
        <w:between w:val="nil"/>
      </w:pBdr>
      <w:tabs>
        <w:tab w:val="center" w:pos="4513"/>
        <w:tab w:val="right" w:pos="9026"/>
      </w:tabs>
      <w:spacing w:after="0" w:line="276" w:lineRule="auto"/>
      <w:rPr>
        <w:rFonts w:ascii="Arial" w:eastAsia="Arial" w:hAnsi="Arial"/>
        <w:color w:val="000000"/>
        <w:sz w:val="20"/>
        <w:szCs w:val="20"/>
      </w:rPr>
    </w:pPr>
    <w:r>
      <w:rPr>
        <w:rFonts w:ascii="Arial" w:eastAsia="Arial" w:hAnsi="Arial"/>
        <w:color w:val="000000"/>
        <w:sz w:val="20"/>
        <w:szCs w:val="20"/>
      </w:rPr>
      <w:t>Project Version: v2.0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F37AB">
      <w:rPr>
        <w:rFonts w:ascii="Arial" w:eastAsia="Arial" w:hAnsi="Arial"/>
        <w:noProof/>
        <w:color w:val="000000"/>
        <w:sz w:val="20"/>
        <w:szCs w:val="20"/>
      </w:rPr>
      <w:t>1</w:t>
    </w:r>
    <w:r>
      <w:rPr>
        <w:rFonts w:ascii="Arial" w:eastAsia="Arial" w:hAnsi="Arial"/>
        <w:color w:val="000000"/>
        <w:sz w:val="20"/>
        <w:szCs w:val="20"/>
      </w:rPr>
      <w:fldChar w:fldCharType="end"/>
    </w:r>
  </w:p>
  <w:p w14:paraId="40F85CB7" w14:textId="77777777" w:rsidR="000353B1" w:rsidRDefault="00B84A77">
    <w:pPr>
      <w:spacing w:after="0" w:line="276" w:lineRule="auto"/>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C152" w14:textId="77777777" w:rsidR="000353B1" w:rsidRDefault="00B84A77">
    <w:pPr>
      <w:tabs>
        <w:tab w:val="center" w:pos="4513"/>
        <w:tab w:val="right" w:pos="9026"/>
      </w:tabs>
      <w:spacing w:after="0"/>
      <w:rPr>
        <w:color w:val="BFBFBF"/>
      </w:rPr>
    </w:pPr>
    <w:r>
      <w:rPr>
        <w:color w:val="BFBFBF"/>
      </w:rPr>
      <w:t>Framework Ref: RM</w:t>
    </w:r>
    <w:r>
      <w:rPr>
        <w:color w:val="BFBFBF"/>
      </w:rPr>
      <w:tab/>
      <w:t xml:space="preserve">                                           </w:t>
    </w:r>
  </w:p>
  <w:p w14:paraId="5F1355C2" w14:textId="77777777" w:rsidR="000353B1" w:rsidRDefault="00B84A7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3CDCDC5" w14:textId="77777777" w:rsidR="000353B1" w:rsidRDefault="00B84A77">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50ADF" w14:textId="77777777" w:rsidR="00807CC6" w:rsidRDefault="00807CC6">
      <w:pPr>
        <w:spacing w:after="0"/>
      </w:pPr>
      <w:r>
        <w:separator/>
      </w:r>
    </w:p>
  </w:footnote>
  <w:footnote w:type="continuationSeparator" w:id="0">
    <w:p w14:paraId="61C44624" w14:textId="77777777" w:rsidR="00807CC6" w:rsidRDefault="00807C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07AB2" w14:textId="77777777" w:rsidR="000353B1" w:rsidRDefault="00B84A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4ECFDAAD" w14:textId="77777777" w:rsidR="000353B1" w:rsidRDefault="00B84A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06ECC"/>
    <w:multiLevelType w:val="multilevel"/>
    <w:tmpl w:val="A46E9B6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1CE3C04"/>
    <w:multiLevelType w:val="multilevel"/>
    <w:tmpl w:val="409C048A"/>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4AF42D3D"/>
    <w:multiLevelType w:val="multilevel"/>
    <w:tmpl w:val="95B485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357"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CB86184"/>
    <w:multiLevelType w:val="multilevel"/>
    <w:tmpl w:val="B0E6F264"/>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DE33D73"/>
    <w:multiLevelType w:val="multilevel"/>
    <w:tmpl w:val="53C8A45A"/>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504197527">
    <w:abstractNumId w:val="0"/>
  </w:num>
  <w:num w:numId="2" w16cid:durableId="1991210588">
    <w:abstractNumId w:val="2"/>
  </w:num>
  <w:num w:numId="3" w16cid:durableId="547424614">
    <w:abstractNumId w:val="1"/>
  </w:num>
  <w:num w:numId="4" w16cid:durableId="212080802">
    <w:abstractNumId w:val="4"/>
  </w:num>
  <w:num w:numId="5" w16cid:durableId="8436714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3B1"/>
    <w:rsid w:val="000353B1"/>
    <w:rsid w:val="000703F2"/>
    <w:rsid w:val="000D17B8"/>
    <w:rsid w:val="000D19D9"/>
    <w:rsid w:val="00162E0C"/>
    <w:rsid w:val="00225D1D"/>
    <w:rsid w:val="002F37AB"/>
    <w:rsid w:val="0032625F"/>
    <w:rsid w:val="004532A0"/>
    <w:rsid w:val="00507E78"/>
    <w:rsid w:val="00586C1B"/>
    <w:rsid w:val="0065395B"/>
    <w:rsid w:val="007415C7"/>
    <w:rsid w:val="00792A90"/>
    <w:rsid w:val="00807CC6"/>
    <w:rsid w:val="00872AD1"/>
    <w:rsid w:val="00936212"/>
    <w:rsid w:val="00A87EA5"/>
    <w:rsid w:val="00B7224D"/>
    <w:rsid w:val="00B84A77"/>
    <w:rsid w:val="00DC22A1"/>
    <w:rsid w:val="00FF5C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9910B"/>
  <w15:docId w15:val="{0DAEC896-D5EA-4F47-849C-3B3A9B45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 w:type="table" w:customStyle="1" w:styleId="ae">
    <w:basedOn w:val="TableNormal"/>
    <w:pPr>
      <w:spacing w:after="0"/>
    </w:pPr>
    <w:rPr>
      <w:sz w:val="20"/>
      <w:szCs w:val="20"/>
    </w:rPr>
    <w:tblPr>
      <w:tblStyleRowBandSize w:val="1"/>
      <w:tblStyleColBandSize w:val="1"/>
      <w:tblCellMar>
        <w:left w:w="115" w:type="dxa"/>
        <w:right w:w="115" w:type="dxa"/>
      </w:tblCellMar>
    </w:tblPr>
  </w:style>
  <w:style w:type="table" w:customStyle="1" w:styleId="af">
    <w:basedOn w:val="TableNormal"/>
    <w:pPr>
      <w:spacing w:after="0"/>
    </w:pPr>
    <w:rPr>
      <w:sz w:val="20"/>
      <w:szCs w:val="20"/>
    </w:rPr>
    <w:tblPr>
      <w:tblStyleRowBandSize w:val="1"/>
      <w:tblStyleColBandSize w:val="1"/>
      <w:tblCellMar>
        <w:left w:w="115" w:type="dxa"/>
        <w:right w:w="115" w:type="dxa"/>
      </w:tblCellMar>
    </w:tblPr>
  </w:style>
  <w:style w:type="table" w:customStyle="1" w:styleId="af0">
    <w:basedOn w:val="TableNormal"/>
    <w:pPr>
      <w:spacing w:after="0"/>
    </w:pPr>
    <w:rPr>
      <w:sz w:val="20"/>
      <w:szCs w:val="20"/>
    </w:rPr>
    <w:tblPr>
      <w:tblStyleRowBandSize w:val="1"/>
      <w:tblStyleColBandSize w:val="1"/>
      <w:tblCellMar>
        <w:left w:w="115" w:type="dxa"/>
        <w:right w:w="115" w:type="dxa"/>
      </w:tblCellMar>
    </w:tblPr>
  </w:style>
  <w:style w:type="table" w:customStyle="1" w:styleId="af1">
    <w:basedOn w:val="TableNormal"/>
    <w:pPr>
      <w:spacing w:after="0"/>
    </w:pPr>
    <w:rPr>
      <w:sz w:val="20"/>
      <w:szCs w:val="20"/>
    </w:rPr>
    <w:tblPr>
      <w:tblStyleRowBandSize w:val="1"/>
      <w:tblStyleColBandSize w:val="1"/>
      <w:tblCellMar>
        <w:left w:w="115" w:type="dxa"/>
        <w:right w:w="115" w:type="dxa"/>
      </w:tblCellMar>
    </w:tblPr>
  </w:style>
  <w:style w:type="table" w:customStyle="1" w:styleId="af2">
    <w:basedOn w:val="TableNormal"/>
    <w:pPr>
      <w:spacing w:after="0"/>
    </w:pPr>
    <w:rPr>
      <w:sz w:val="20"/>
      <w:szCs w:val="20"/>
    </w:rPr>
    <w:tblPr>
      <w:tblStyleRowBandSize w:val="1"/>
      <w:tblStyleColBandSize w:val="1"/>
      <w:tblCellMar>
        <w:left w:w="115" w:type="dxa"/>
        <w:right w:w="115" w:type="dxa"/>
      </w:tblCellMar>
    </w:tblPr>
  </w:style>
  <w:style w:type="table" w:customStyle="1" w:styleId="af3">
    <w:basedOn w:val="TableNormal"/>
    <w:pPr>
      <w:spacing w:after="0"/>
    </w:pPr>
    <w:rPr>
      <w:sz w:val="20"/>
      <w:szCs w:val="20"/>
    </w:rPr>
    <w:tblPr>
      <w:tblStyleRowBandSize w:val="1"/>
      <w:tblStyleColBandSize w:val="1"/>
      <w:tblCellMar>
        <w:left w:w="115" w:type="dxa"/>
        <w:right w:w="115" w:type="dxa"/>
      </w:tblCellMar>
    </w:tblPr>
  </w:style>
  <w:style w:type="table" w:customStyle="1" w:styleId="af4">
    <w:basedOn w:val="TableNormal"/>
    <w:pPr>
      <w:spacing w:after="0"/>
    </w:pPr>
    <w:rPr>
      <w:sz w:val="20"/>
      <w:szCs w:val="20"/>
    </w:rPr>
    <w:tblPr>
      <w:tblStyleRowBandSize w:val="1"/>
      <w:tblStyleColBandSize w:val="1"/>
      <w:tblCellMar>
        <w:left w:w="115" w:type="dxa"/>
        <w:right w:w="115" w:type="dxa"/>
      </w:tblCellMar>
    </w:tblPr>
  </w:style>
  <w:style w:type="table" w:customStyle="1" w:styleId="af5">
    <w:basedOn w:val="TableNormal"/>
    <w:pPr>
      <w:spacing w:after="0"/>
    </w:pPr>
    <w:rPr>
      <w:sz w:val="20"/>
      <w:szCs w:val="20"/>
    </w:rPr>
    <w:tblPr>
      <w:tblStyleRowBandSize w:val="1"/>
      <w:tblStyleColBandSize w:val="1"/>
      <w:tblCellMar>
        <w:left w:w="115" w:type="dxa"/>
        <w:right w:w="115" w:type="dxa"/>
      </w:tblCellMar>
    </w:tblPr>
  </w:style>
  <w:style w:type="table" w:customStyle="1" w:styleId="af6">
    <w:basedOn w:val="TableNormal"/>
    <w:pPr>
      <w:spacing w:after="0"/>
    </w:pPr>
    <w:rPr>
      <w:sz w:val="20"/>
      <w:szCs w:val="20"/>
    </w:rPr>
    <w:tblPr>
      <w:tblStyleRowBandSize w:val="1"/>
      <w:tblStyleColBandSize w:val="1"/>
      <w:tblCellMar>
        <w:left w:w="115" w:type="dxa"/>
        <w:right w:w="115" w:type="dxa"/>
      </w:tblCellMar>
    </w:tblPr>
  </w:style>
  <w:style w:type="table" w:customStyle="1" w:styleId="af7">
    <w:basedOn w:val="TableNormal"/>
    <w:pPr>
      <w:spacing w:after="0"/>
    </w:pPr>
    <w:rPr>
      <w:sz w:val="20"/>
      <w:szCs w:val="20"/>
    </w:rPr>
    <w:tblPr>
      <w:tblStyleRowBandSize w:val="1"/>
      <w:tblStyleColBandSize w:val="1"/>
      <w:tblCellMar>
        <w:left w:w="115" w:type="dxa"/>
        <w:right w:w="115" w:type="dxa"/>
      </w:tblCellMar>
    </w:tblPr>
  </w:style>
  <w:style w:type="table" w:customStyle="1" w:styleId="af8">
    <w:basedOn w:val="TableNormal"/>
    <w:pPr>
      <w:spacing w:after="0"/>
    </w:pPr>
    <w:rPr>
      <w:sz w:val="20"/>
      <w:szCs w:val="20"/>
    </w:rPr>
    <w:tblPr>
      <w:tblStyleRowBandSize w:val="1"/>
      <w:tblStyleColBandSize w:val="1"/>
      <w:tblCellMar>
        <w:left w:w="115" w:type="dxa"/>
        <w:right w:w="115" w:type="dxa"/>
      </w:tblCellMar>
    </w:tblPr>
  </w:style>
  <w:style w:type="table" w:customStyle="1" w:styleId="af9">
    <w:basedOn w:val="TableNormal"/>
    <w:pPr>
      <w:spacing w:after="0"/>
    </w:pPr>
    <w:rPr>
      <w:sz w:val="20"/>
      <w:szCs w:val="20"/>
    </w:rPr>
    <w:tblPr>
      <w:tblStyleRowBandSize w:val="1"/>
      <w:tblStyleColBandSize w:val="1"/>
      <w:tblCellMar>
        <w:left w:w="115" w:type="dxa"/>
        <w:right w:w="115" w:type="dxa"/>
      </w:tblCellMar>
    </w:tblPr>
  </w:style>
  <w:style w:type="table" w:customStyle="1" w:styleId="afa">
    <w:basedOn w:val="TableNormal"/>
    <w:pPr>
      <w:spacing w:after="0"/>
    </w:pPr>
    <w:rPr>
      <w:sz w:val="20"/>
      <w:szCs w:val="20"/>
    </w:rPr>
    <w:tblPr>
      <w:tblStyleRowBandSize w:val="1"/>
      <w:tblStyleColBandSize w:val="1"/>
      <w:tblCellMar>
        <w:left w:w="115" w:type="dxa"/>
        <w:right w:w="115" w:type="dxa"/>
      </w:tblCellMar>
    </w:tblPr>
  </w:style>
  <w:style w:type="table" w:customStyle="1" w:styleId="afb">
    <w:basedOn w:val="TableNormal"/>
    <w:pPr>
      <w:spacing w:after="0"/>
    </w:pPr>
    <w:rPr>
      <w:sz w:val="20"/>
      <w:szCs w:val="20"/>
    </w:rPr>
    <w:tblPr>
      <w:tblStyleRowBandSize w:val="1"/>
      <w:tblStyleColBandSize w:val="1"/>
      <w:tblCellMar>
        <w:left w:w="115" w:type="dxa"/>
        <w:right w:w="115" w:type="dxa"/>
      </w:tblCellMar>
    </w:tblPr>
  </w:style>
  <w:style w:type="table" w:customStyle="1" w:styleId="afc">
    <w:basedOn w:val="TableNormal"/>
    <w:pPr>
      <w:spacing w:after="0"/>
    </w:pPr>
    <w:rPr>
      <w:sz w:val="20"/>
      <w:szCs w:val="20"/>
    </w:rPr>
    <w:tblPr>
      <w:tblStyleRowBandSize w:val="1"/>
      <w:tblStyleColBandSize w:val="1"/>
      <w:tblCellMar>
        <w:left w:w="115" w:type="dxa"/>
        <w:right w:w="115" w:type="dxa"/>
      </w:tblCellMar>
    </w:tblPr>
  </w:style>
  <w:style w:type="table" w:customStyle="1" w:styleId="afd">
    <w:basedOn w:val="TableNormal"/>
    <w:pPr>
      <w:spacing w:after="0"/>
    </w:pPr>
    <w:rPr>
      <w:sz w:val="20"/>
      <w:szCs w:val="20"/>
    </w:rPr>
    <w:tblPr>
      <w:tblStyleRowBandSize w:val="1"/>
      <w:tblStyleColBandSize w:val="1"/>
      <w:tblCellMar>
        <w:left w:w="115" w:type="dxa"/>
        <w:right w:w="115" w:type="dxa"/>
      </w:tblCellMar>
    </w:tblPr>
  </w:style>
  <w:style w:type="table" w:customStyle="1" w:styleId="afe">
    <w:basedOn w:val="TableNormal"/>
    <w:pPr>
      <w:spacing w:after="0"/>
    </w:pPr>
    <w:rPr>
      <w:sz w:val="20"/>
      <w:szCs w:val="20"/>
    </w:rPr>
    <w:tblPr>
      <w:tblStyleRowBandSize w:val="1"/>
      <w:tblStyleColBandSize w:val="1"/>
      <w:tblCellMar>
        <w:left w:w="115" w:type="dxa"/>
        <w:right w:w="115" w:type="dxa"/>
      </w:tblCellMar>
    </w:tblPr>
  </w:style>
  <w:style w:type="table" w:customStyle="1" w:styleId="aff">
    <w:basedOn w:val="TableNormal"/>
    <w:pPr>
      <w:spacing w:after="0"/>
    </w:pPr>
    <w:rPr>
      <w:sz w:val="20"/>
      <w:szCs w:val="20"/>
    </w:rPr>
    <w:tblPr>
      <w:tblStyleRowBandSize w:val="1"/>
      <w:tblStyleColBandSize w:val="1"/>
      <w:tblCellMar>
        <w:left w:w="115" w:type="dxa"/>
        <w:right w:w="115" w:type="dxa"/>
      </w:tblCellMar>
    </w:tblPr>
  </w:style>
  <w:style w:type="table" w:customStyle="1" w:styleId="aff0">
    <w:basedOn w:val="TableNormal"/>
    <w:pPr>
      <w:spacing w:after="0"/>
    </w:pPr>
    <w:rPr>
      <w:sz w:val="20"/>
      <w:szCs w:val="20"/>
    </w:rPr>
    <w:tblPr>
      <w:tblStyleRowBandSize w:val="1"/>
      <w:tblStyleColBandSize w:val="1"/>
      <w:tblCellMar>
        <w:left w:w="115" w:type="dxa"/>
        <w:right w:w="115" w:type="dxa"/>
      </w:tblCellMar>
    </w:tblPr>
  </w:style>
  <w:style w:type="table" w:customStyle="1" w:styleId="aff1">
    <w:basedOn w:val="TableNormal"/>
    <w:pPr>
      <w:spacing w:after="0"/>
    </w:pPr>
    <w:rPr>
      <w:sz w:val="20"/>
      <w:szCs w:val="20"/>
    </w:rPr>
    <w:tblPr>
      <w:tblStyleRowBandSize w:val="1"/>
      <w:tblStyleColBandSize w:val="1"/>
      <w:tblCellMar>
        <w:left w:w="115" w:type="dxa"/>
        <w:right w:w="115" w:type="dxa"/>
      </w:tblCellMar>
    </w:tblPr>
  </w:style>
  <w:style w:type="table" w:customStyle="1" w:styleId="aff2">
    <w:basedOn w:val="TableNormal"/>
    <w:pPr>
      <w:spacing w:after="0"/>
    </w:pPr>
    <w:rPr>
      <w:sz w:val="20"/>
      <w:szCs w:val="20"/>
    </w:rPr>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pPr>
      <w:spacing w:after="0"/>
    </w:pPr>
    <w:rPr>
      <w:sz w:val="20"/>
      <w:szCs w:val="20"/>
    </w:rPr>
    <w:tblPr>
      <w:tblStyleRowBandSize w:val="1"/>
      <w:tblStyleColBandSize w:val="1"/>
      <w:tblCellMar>
        <w:left w:w="115" w:type="dxa"/>
        <w:right w:w="115" w:type="dxa"/>
      </w:tblCellMar>
    </w:tblPr>
  </w:style>
  <w:style w:type="table" w:customStyle="1" w:styleId="aff5">
    <w:basedOn w:val="TableNormal"/>
    <w:pPr>
      <w:spacing w:after="0"/>
    </w:pPr>
    <w:rPr>
      <w:sz w:val="20"/>
      <w:szCs w:val="20"/>
    </w:rPr>
    <w:tblPr>
      <w:tblStyleRowBandSize w:val="1"/>
      <w:tblStyleColBandSize w:val="1"/>
      <w:tblCellMar>
        <w:left w:w="115" w:type="dxa"/>
        <w:right w:w="115" w:type="dxa"/>
      </w:tblCellMar>
    </w:tblPr>
  </w:style>
  <w:style w:type="table" w:customStyle="1" w:styleId="aff6">
    <w:basedOn w:val="TableNormal"/>
    <w:pPr>
      <w:spacing w:after="0"/>
    </w:pPr>
    <w:rPr>
      <w:sz w:val="20"/>
      <w:szCs w:val="20"/>
    </w:rPr>
    <w:tblPr>
      <w:tblStyleRowBandSize w:val="1"/>
      <w:tblStyleColBandSize w:val="1"/>
      <w:tblCellMar>
        <w:left w:w="115" w:type="dxa"/>
        <w:right w:w="115" w:type="dxa"/>
      </w:tblCellMar>
    </w:tblPr>
  </w:style>
  <w:style w:type="table" w:customStyle="1" w:styleId="aff7">
    <w:basedOn w:val="TableNormal"/>
    <w:pPr>
      <w:spacing w:after="0"/>
    </w:pPr>
    <w:rPr>
      <w:sz w:val="20"/>
      <w:szCs w:val="20"/>
    </w:rPr>
    <w:tblPr>
      <w:tblStyleRowBandSize w:val="1"/>
      <w:tblStyleColBandSize w:val="1"/>
      <w:tblCellMar>
        <w:left w:w="115" w:type="dxa"/>
        <w:right w:w="115" w:type="dxa"/>
      </w:tblCellMar>
    </w:tblPr>
  </w:style>
  <w:style w:type="table" w:customStyle="1" w:styleId="aff8">
    <w:basedOn w:val="TableNormal"/>
    <w:pPr>
      <w:spacing w:after="0"/>
    </w:pPr>
    <w:rPr>
      <w:sz w:val="20"/>
      <w:szCs w:val="20"/>
    </w:rPr>
    <w:tblPr>
      <w:tblStyleRowBandSize w:val="1"/>
      <w:tblStyleColBandSize w:val="1"/>
      <w:tblCellMar>
        <w:left w:w="115" w:type="dxa"/>
        <w:right w:w="115" w:type="dxa"/>
      </w:tblCellMar>
    </w:tblPr>
  </w:style>
  <w:style w:type="table" w:customStyle="1" w:styleId="aff9">
    <w:basedOn w:val="TableNormal"/>
    <w:pPr>
      <w:spacing w:after="0"/>
    </w:pPr>
    <w:rPr>
      <w:sz w:val="20"/>
      <w:szCs w:val="20"/>
    </w:rPr>
    <w:tblPr>
      <w:tblStyleRowBandSize w:val="1"/>
      <w:tblStyleColBandSize w:val="1"/>
      <w:tblCellMar>
        <w:left w:w="115" w:type="dxa"/>
        <w:right w:w="115" w:type="dxa"/>
      </w:tblCellMar>
    </w:tblPr>
  </w:style>
  <w:style w:type="table" w:customStyle="1" w:styleId="affa">
    <w:basedOn w:val="TableNormal"/>
    <w:pPr>
      <w:spacing w:after="0"/>
    </w:pPr>
    <w:rPr>
      <w:sz w:val="20"/>
      <w:szCs w:val="20"/>
    </w:rPr>
    <w:tblPr>
      <w:tblStyleRowBandSize w:val="1"/>
      <w:tblStyleColBandSize w:val="1"/>
      <w:tblCellMar>
        <w:left w:w="115" w:type="dxa"/>
        <w:right w:w="115" w:type="dxa"/>
      </w:tblCellMar>
    </w:tblPr>
  </w:style>
  <w:style w:type="table" w:customStyle="1" w:styleId="affb">
    <w:basedOn w:val="TableNormal"/>
    <w:pPr>
      <w:spacing w:after="0"/>
    </w:pPr>
    <w:rPr>
      <w:sz w:val="20"/>
      <w:szCs w:val="20"/>
    </w:rPr>
    <w:tblPr>
      <w:tblStyleRowBandSize w:val="1"/>
      <w:tblStyleColBandSize w:val="1"/>
      <w:tblCellMar>
        <w:left w:w="115" w:type="dxa"/>
        <w:right w:w="115" w:type="dxa"/>
      </w:tblCellMar>
    </w:tblPr>
  </w:style>
  <w:style w:type="table" w:customStyle="1" w:styleId="affc">
    <w:basedOn w:val="TableNormal"/>
    <w:pPr>
      <w:spacing w:after="0"/>
    </w:pPr>
    <w:rPr>
      <w:sz w:val="20"/>
      <w:szCs w:val="20"/>
    </w:rPr>
    <w:tblPr>
      <w:tblStyleRowBandSize w:val="1"/>
      <w:tblStyleColBandSize w:val="1"/>
      <w:tblCellMar>
        <w:left w:w="115" w:type="dxa"/>
        <w:right w:w="115" w:type="dxa"/>
      </w:tblCellMar>
    </w:tblPr>
  </w:style>
  <w:style w:type="table" w:customStyle="1" w:styleId="affd">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owWieCvN6l8GcesOA0W2s5zuwQ==">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3680D6-B857-4F8F-A580-A27657AD83B6}"/>
</file>

<file path=customXml/itemProps3.xml><?xml version="1.0" encoding="utf-8"?>
<ds:datastoreItem xmlns:ds="http://schemas.openxmlformats.org/officeDocument/2006/customXml" ds:itemID="{3F11451A-6E09-42DB-AFFB-E2445EE7FC1F}"/>
</file>

<file path=customXml/itemProps4.xml><?xml version="1.0" encoding="utf-8"?>
<ds:datastoreItem xmlns:ds="http://schemas.openxmlformats.org/officeDocument/2006/customXml" ds:itemID="{FFBEA0BD-CF67-4715-A11C-D3A573717E1B}"/>
</file>

<file path=docProps/app.xml><?xml version="1.0" encoding="utf-8"?>
<Properties xmlns="http://schemas.openxmlformats.org/officeDocument/2006/extended-properties" xmlns:vt="http://schemas.openxmlformats.org/officeDocument/2006/docPropsVTypes">
  <Template>Normal</Template>
  <TotalTime>2</TotalTime>
  <Pages>18</Pages>
  <Words>5008</Words>
  <Characters>26595</Characters>
  <Application>Microsoft Office Word</Application>
  <DocSecurity>0</DocSecurity>
  <Lines>759</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Richard Hamflett</cp:lastModifiedBy>
  <cp:revision>4</cp:revision>
  <dcterms:created xsi:type="dcterms:W3CDTF">2025-03-26T12:38:00Z</dcterms:created>
  <dcterms:modified xsi:type="dcterms:W3CDTF">2026-01-16T12:48:00Z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4562</vt:i4>
  </property>
  <property fmtid="{D5CDD505-2E9C-101B-9397-08002B2CF9AE}" pid="8" name="FILEID">
    <vt:i4>334361</vt:i4>
  </property>
  <property fmtid="{D5CDD505-2E9C-101B-9397-08002B2CF9AE}" pid="9" name="ASSOCID">
    <vt:i4>1426203</vt:i4>
  </property>
  <property fmtid="{D5CDD505-2E9C-101B-9397-08002B2CF9AE}" pid="10" name="ContentTypeId">
    <vt:lpwstr>0x010100A5BF1C78D9F64B679A5EBDE1C6598EBC0100CC42F60AA7789749A5588C8BDD2261FE</vt:lpwstr>
  </property>
</Properties>
</file>